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16" w:rsidRPr="00DD30CD" w:rsidRDefault="00B23716" w:rsidP="00B23716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6" w:rsidRPr="00DD30CD" w:rsidRDefault="00B23716" w:rsidP="00B237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РОССИЙСКАЯ  ФЕДЕРАЦИЯ</w:t>
      </w: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ОРЛОВСКАЯ ОБЛАСТЬ</w:t>
      </w:r>
    </w:p>
    <w:p w:rsidR="00B23716" w:rsidRPr="00DD30CD" w:rsidRDefault="00B23716" w:rsidP="00B23716">
      <w:pPr>
        <w:jc w:val="center"/>
        <w:rPr>
          <w:b/>
          <w:color w:val="0000FF"/>
          <w:sz w:val="32"/>
          <w:szCs w:val="32"/>
        </w:rPr>
      </w:pPr>
    </w:p>
    <w:p w:rsidR="00B23716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Контрольный орган – Ревизионная комиссия </w:t>
      </w:r>
    </w:p>
    <w:p w:rsidR="00AF0A82" w:rsidRPr="00DD30CD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Новосильского района </w:t>
      </w:r>
    </w:p>
    <w:p w:rsidR="00B23716" w:rsidRPr="00DD30CD" w:rsidRDefault="00B23716" w:rsidP="00B23716">
      <w:pPr>
        <w:rPr>
          <w:b/>
          <w:i/>
          <w:color w:val="0000FF"/>
        </w:rPr>
      </w:pPr>
    </w:p>
    <w:p w:rsidR="000F5816" w:rsidRPr="000F5816" w:rsidRDefault="00B23716" w:rsidP="00B23716">
      <w:pPr>
        <w:rPr>
          <w:b/>
          <w:color w:val="0000FF"/>
          <w:sz w:val="28"/>
          <w:szCs w:val="28"/>
        </w:rPr>
      </w:pPr>
      <w:r w:rsidRPr="00DD30CD">
        <w:rPr>
          <w:b/>
          <w:color w:val="0000FF"/>
          <w:u w:val="single"/>
        </w:rPr>
        <w:t xml:space="preserve">      303500, г. Новосиль, ул. Карла Маркса,16                         тел. 8(48673)2-15-67, факс 8(48673)2-22-51   </w:t>
      </w:r>
      <w:r w:rsidRPr="00DD30CD">
        <w:rPr>
          <w:b/>
          <w:color w:val="0000FF"/>
          <w:sz w:val="28"/>
          <w:szCs w:val="28"/>
        </w:rPr>
        <w:tab/>
      </w:r>
      <w:r w:rsidRPr="00DD30CD">
        <w:rPr>
          <w:b/>
          <w:color w:val="0000FF"/>
          <w:sz w:val="28"/>
          <w:szCs w:val="28"/>
        </w:rPr>
        <w:tab/>
      </w:r>
    </w:p>
    <w:p w:rsidR="005F3CD6" w:rsidRPr="005F3CD6" w:rsidRDefault="005F3CD6" w:rsidP="005F3CD6">
      <w:pPr>
        <w:ind w:firstLine="708"/>
        <w:jc w:val="center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Заключение</w:t>
      </w:r>
    </w:p>
    <w:p w:rsidR="005F3CD6" w:rsidRPr="005F3CD6" w:rsidRDefault="005F3CD6" w:rsidP="005F3CD6">
      <w:pPr>
        <w:ind w:firstLine="708"/>
        <w:jc w:val="center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по проекту районного бюдж</w:t>
      </w:r>
      <w:r>
        <w:rPr>
          <w:b/>
          <w:sz w:val="24"/>
          <w:szCs w:val="24"/>
          <w:u w:val="single"/>
        </w:rPr>
        <w:t>ета Новосильского района на 2015</w:t>
      </w:r>
      <w:r w:rsidRPr="005F3CD6">
        <w:rPr>
          <w:b/>
          <w:sz w:val="24"/>
          <w:szCs w:val="24"/>
          <w:u w:val="single"/>
        </w:rPr>
        <w:t xml:space="preserve"> год</w:t>
      </w:r>
    </w:p>
    <w:p w:rsidR="005F3CD6" w:rsidRPr="005F3CD6" w:rsidRDefault="005F3CD6" w:rsidP="005F3CD6">
      <w:pPr>
        <w:ind w:firstLine="708"/>
        <w:jc w:val="center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 xml:space="preserve"> и плановый период 201</w:t>
      </w:r>
      <w:r>
        <w:rPr>
          <w:b/>
          <w:sz w:val="24"/>
          <w:szCs w:val="24"/>
          <w:u w:val="single"/>
        </w:rPr>
        <w:t>6</w:t>
      </w:r>
      <w:r w:rsidRPr="005F3CD6">
        <w:rPr>
          <w:b/>
          <w:sz w:val="24"/>
          <w:szCs w:val="24"/>
          <w:u w:val="single"/>
        </w:rPr>
        <w:t>-201</w:t>
      </w:r>
      <w:r>
        <w:rPr>
          <w:b/>
          <w:sz w:val="24"/>
          <w:szCs w:val="24"/>
          <w:u w:val="single"/>
        </w:rPr>
        <w:t>7</w:t>
      </w:r>
      <w:r w:rsidRPr="005F3CD6">
        <w:rPr>
          <w:b/>
          <w:sz w:val="24"/>
          <w:szCs w:val="24"/>
          <w:u w:val="single"/>
        </w:rPr>
        <w:t xml:space="preserve"> годов. </w:t>
      </w:r>
    </w:p>
    <w:p w:rsidR="005F3CD6" w:rsidRPr="005F3CD6" w:rsidRDefault="005F3CD6" w:rsidP="005F3CD6">
      <w:pPr>
        <w:ind w:firstLine="708"/>
        <w:jc w:val="center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Второе чтение.</w:t>
      </w:r>
    </w:p>
    <w:p w:rsidR="005F3CD6" w:rsidRPr="005F3CD6" w:rsidRDefault="005F3CD6" w:rsidP="005F3CD6">
      <w:pPr>
        <w:ind w:firstLine="708"/>
        <w:jc w:val="center"/>
        <w:rPr>
          <w:b/>
          <w:sz w:val="24"/>
          <w:szCs w:val="24"/>
          <w:u w:val="single"/>
        </w:rPr>
      </w:pPr>
    </w:p>
    <w:p w:rsidR="005F3CD6" w:rsidRPr="005F3CD6" w:rsidRDefault="005F3CD6" w:rsidP="005F3CD6">
      <w:pPr>
        <w:ind w:firstLine="708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Заключение  на   проект Решения</w:t>
      </w:r>
      <w:r w:rsidR="006D0E52">
        <w:rPr>
          <w:sz w:val="24"/>
          <w:szCs w:val="24"/>
        </w:rPr>
        <w:t xml:space="preserve">  «О  районном бюджете  на  2015 год  и  плановый  период  2015 – 2017</w:t>
      </w:r>
      <w:r w:rsidRPr="005F3CD6">
        <w:rPr>
          <w:sz w:val="24"/>
          <w:szCs w:val="24"/>
        </w:rPr>
        <w:t xml:space="preserve"> годов»,    составлено  в  соответствии  с  п.1. ст. 157 Бюджетного  кодекса  РФ, статьёй 38  Федерального  закона  №  131-ФЗ  от  06.10.2003г. «Об  общих  принципах  местного  самоуправления  в  Российской  Федерации»,  п.2 статьи 37  Устава  Новосильского  района, ст.7  Положения  о  контрольном  органе – Ревизионной  комиссии  Новосильского  района,  а также в соответствии ст.58   действующего  «Положением  о  бюджетном  процессе  в  Новосильском  районе»</w:t>
      </w:r>
      <w:r w:rsidR="008A2987">
        <w:rPr>
          <w:sz w:val="24"/>
          <w:szCs w:val="24"/>
        </w:rPr>
        <w:t>(далее- Положение о бюджетном процессе)</w:t>
      </w:r>
      <w:r w:rsidRPr="005F3CD6">
        <w:rPr>
          <w:sz w:val="24"/>
          <w:szCs w:val="24"/>
        </w:rPr>
        <w:t xml:space="preserve">  и  письмом  районного  </w:t>
      </w:r>
      <w:r w:rsidR="006D0E52">
        <w:rPr>
          <w:sz w:val="24"/>
          <w:szCs w:val="24"/>
        </w:rPr>
        <w:t>Совета  народных  депутатов №_   от     декабря _2014</w:t>
      </w:r>
      <w:r w:rsidRPr="005F3CD6">
        <w:rPr>
          <w:sz w:val="24"/>
          <w:szCs w:val="24"/>
        </w:rPr>
        <w:t>г.</w:t>
      </w:r>
    </w:p>
    <w:p w:rsidR="005F3CD6" w:rsidRPr="005F3CD6" w:rsidRDefault="005F3CD6" w:rsidP="005F3CD6">
      <w:pPr>
        <w:ind w:firstLine="708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Рассмотрев  представленный  проект  Решения </w:t>
      </w:r>
      <w:r w:rsidR="006D0E52">
        <w:rPr>
          <w:sz w:val="24"/>
          <w:szCs w:val="24"/>
        </w:rPr>
        <w:t xml:space="preserve"> «О  районном  бюджете  на  2015 год  и  плановый  период  2016</w:t>
      </w:r>
      <w:r w:rsidRPr="005F3CD6">
        <w:rPr>
          <w:sz w:val="24"/>
          <w:szCs w:val="24"/>
        </w:rPr>
        <w:t xml:space="preserve"> – 201</w:t>
      </w:r>
      <w:r w:rsidR="006D0E52">
        <w:rPr>
          <w:sz w:val="24"/>
          <w:szCs w:val="24"/>
        </w:rPr>
        <w:t>7</w:t>
      </w:r>
      <w:r w:rsidRPr="005F3CD6">
        <w:rPr>
          <w:sz w:val="24"/>
          <w:szCs w:val="24"/>
        </w:rPr>
        <w:t xml:space="preserve"> годов» (далее – Проект бюджета)   Ревизионная  комиссия  произвела  анализ  обоснованности  формирования  его  доходных  и  расходных  статей  и  размера  профицита  районного  бюджета. </w:t>
      </w:r>
    </w:p>
    <w:p w:rsidR="005F3CD6" w:rsidRPr="005F3CD6" w:rsidRDefault="005F3CD6" w:rsidP="005F3CD6">
      <w:pPr>
        <w:ind w:firstLine="708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Экспертиза  проекта районного</w:t>
      </w:r>
      <w:r w:rsidR="006D0E52">
        <w:rPr>
          <w:sz w:val="24"/>
          <w:szCs w:val="24"/>
        </w:rPr>
        <w:t xml:space="preserve"> бюджета второго чтения  на 2015 год и плановый период 2016-2017</w:t>
      </w:r>
      <w:r w:rsidRPr="005F3CD6">
        <w:rPr>
          <w:sz w:val="24"/>
          <w:szCs w:val="24"/>
        </w:rPr>
        <w:t xml:space="preserve"> годов осуществлялась,  руководствуясь материалами, предоставленными в со</w:t>
      </w:r>
      <w:r w:rsidR="006D0E52">
        <w:rPr>
          <w:sz w:val="24"/>
          <w:szCs w:val="24"/>
        </w:rPr>
        <w:t>ответствии с требованиями ст.184.1</w:t>
      </w:r>
      <w:r w:rsidRPr="005F3CD6">
        <w:rPr>
          <w:sz w:val="24"/>
          <w:szCs w:val="24"/>
        </w:rPr>
        <w:t xml:space="preserve"> Бюджетного кодекса РФ и  ст.85 Положения о бюджетном процессе в Новосильском районе. </w:t>
      </w:r>
    </w:p>
    <w:p w:rsidR="005F3CD6" w:rsidRPr="005F3CD6" w:rsidRDefault="005F3CD6" w:rsidP="005F3CD6">
      <w:pPr>
        <w:ind w:firstLine="708"/>
        <w:jc w:val="both"/>
        <w:rPr>
          <w:b/>
          <w:sz w:val="24"/>
          <w:szCs w:val="24"/>
        </w:rPr>
      </w:pPr>
    </w:p>
    <w:p w:rsidR="005F3CD6" w:rsidRPr="005F3CD6" w:rsidRDefault="005F3CD6" w:rsidP="005F3CD6">
      <w:pPr>
        <w:widowControl w:val="0"/>
        <w:jc w:val="center"/>
        <w:rPr>
          <w:b/>
          <w:sz w:val="24"/>
          <w:szCs w:val="24"/>
        </w:rPr>
      </w:pPr>
      <w:r w:rsidRPr="005F3CD6">
        <w:rPr>
          <w:b/>
          <w:sz w:val="24"/>
          <w:szCs w:val="24"/>
        </w:rPr>
        <w:t>Прогнозируемые основные характеристики проекта бюджета Новосильского района на 2014 год и на плановый период 2015-2016</w:t>
      </w:r>
    </w:p>
    <w:p w:rsidR="005F3CD6" w:rsidRPr="005F3CD6" w:rsidRDefault="005F3CD6" w:rsidP="005F3CD6">
      <w:pPr>
        <w:widowControl w:val="0"/>
        <w:ind w:left="851"/>
        <w:jc w:val="center"/>
        <w:rPr>
          <w:sz w:val="24"/>
          <w:szCs w:val="24"/>
        </w:rPr>
      </w:pPr>
    </w:p>
    <w:p w:rsid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В соответствии с п.4 ст. 169 Бюджетного кодекса РФ, п. 3 ст. 65 Положения о бюджетном процессе в Новосильском районе  проект бюджета сформирова</w:t>
      </w:r>
      <w:r w:rsidR="006D0E52">
        <w:rPr>
          <w:sz w:val="24"/>
          <w:szCs w:val="24"/>
        </w:rPr>
        <w:t>н на три года: на очередной 2015 год и плановый период 2016-2017</w:t>
      </w:r>
      <w:r w:rsidRPr="005F3CD6">
        <w:rPr>
          <w:sz w:val="24"/>
          <w:szCs w:val="24"/>
        </w:rPr>
        <w:t xml:space="preserve"> годы.</w:t>
      </w:r>
    </w:p>
    <w:p w:rsidR="006D0E52" w:rsidRPr="005F3CD6" w:rsidRDefault="006D0E52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изменением утвержденных в первом чтении  основных характеристик  районного бюджета в первом чтении (Решение № 289-РС от 05.12.2014 года)  имеется заключение Главы Новосильского района  на право </w:t>
      </w:r>
      <w:r w:rsidR="008A2987">
        <w:rPr>
          <w:sz w:val="24"/>
          <w:szCs w:val="24"/>
        </w:rPr>
        <w:t>увеличение доходов и дефицита районного бюджета на  2015 года и плановые периоды 2016-2017 годы.(обз.4.п.1.ст.84. Положения о бюджетном процессе)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Предоставленным проектом  Решения </w:t>
      </w:r>
      <w:r w:rsidR="008A2987">
        <w:rPr>
          <w:sz w:val="24"/>
          <w:szCs w:val="24"/>
        </w:rPr>
        <w:t xml:space="preserve"> «О  районном  бюджете  на  2015 год  и  плановый  период  2016 – 2017</w:t>
      </w:r>
      <w:r w:rsidRPr="005F3CD6">
        <w:rPr>
          <w:sz w:val="24"/>
          <w:szCs w:val="24"/>
        </w:rPr>
        <w:t xml:space="preserve"> годов»бюджет муниципального образования предлагается утвердить:</w:t>
      </w:r>
    </w:p>
    <w:p w:rsidR="005F3CD6" w:rsidRPr="005F3CD6" w:rsidRDefault="005F3CD6" w:rsidP="005F3CD6">
      <w:pPr>
        <w:widowControl w:val="0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lastRenderedPageBreak/>
        <w:t>на 201</w:t>
      </w:r>
      <w:r w:rsidR="008A2987">
        <w:rPr>
          <w:sz w:val="24"/>
          <w:szCs w:val="24"/>
        </w:rPr>
        <w:t>5год: по доходам в сумме 123223,0</w:t>
      </w:r>
      <w:r w:rsidRPr="005F3CD6">
        <w:rPr>
          <w:sz w:val="24"/>
          <w:szCs w:val="24"/>
        </w:rPr>
        <w:t xml:space="preserve"> тыс. ру</w:t>
      </w:r>
      <w:r w:rsidR="008A2987">
        <w:rPr>
          <w:sz w:val="24"/>
          <w:szCs w:val="24"/>
        </w:rPr>
        <w:t>б., по расходам в сумме 124107,5</w:t>
      </w:r>
      <w:r w:rsidRPr="005F3CD6">
        <w:rPr>
          <w:sz w:val="24"/>
          <w:szCs w:val="24"/>
        </w:rPr>
        <w:t xml:space="preserve"> тыс</w:t>
      </w:r>
      <w:r w:rsidR="008A2987">
        <w:rPr>
          <w:sz w:val="24"/>
          <w:szCs w:val="24"/>
        </w:rPr>
        <w:t>. руб. с дефицитом в сумме 884,5</w:t>
      </w:r>
      <w:r w:rsidRPr="005F3CD6">
        <w:rPr>
          <w:sz w:val="24"/>
          <w:szCs w:val="24"/>
        </w:rPr>
        <w:t xml:space="preserve"> тыс. руб.;</w:t>
      </w:r>
    </w:p>
    <w:p w:rsidR="005F3CD6" w:rsidRPr="005F3CD6" w:rsidRDefault="005F3CD6" w:rsidP="005F3CD6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на плановый период:</w:t>
      </w:r>
    </w:p>
    <w:p w:rsidR="005F3CD6" w:rsidRPr="005F3CD6" w:rsidRDefault="008A2987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- 2016год: по доходам в сумме 106179,4</w:t>
      </w:r>
      <w:r w:rsidR="005F3CD6" w:rsidRPr="005F3CD6">
        <w:rPr>
          <w:sz w:val="24"/>
          <w:szCs w:val="24"/>
        </w:rPr>
        <w:t xml:space="preserve"> тыс. р</w:t>
      </w:r>
      <w:r>
        <w:rPr>
          <w:sz w:val="24"/>
          <w:szCs w:val="24"/>
        </w:rPr>
        <w:t>уб. по расходам в сумме 107097,6</w:t>
      </w:r>
      <w:r w:rsidR="005F3CD6" w:rsidRPr="005F3CD6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руб. с дефицитом в сумме 918,2</w:t>
      </w:r>
      <w:r w:rsidR="005F3CD6" w:rsidRPr="005F3CD6">
        <w:rPr>
          <w:sz w:val="24"/>
          <w:szCs w:val="24"/>
        </w:rPr>
        <w:t xml:space="preserve"> тыс. руб.;</w:t>
      </w:r>
    </w:p>
    <w:p w:rsidR="005F3CD6" w:rsidRPr="005F3CD6" w:rsidRDefault="008A2987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- 2017год: по доходам в сумме 116863,4</w:t>
      </w:r>
      <w:r w:rsidR="005F3CD6" w:rsidRPr="005F3CD6">
        <w:rPr>
          <w:sz w:val="24"/>
          <w:szCs w:val="24"/>
        </w:rPr>
        <w:t xml:space="preserve"> тыс. р</w:t>
      </w:r>
      <w:r>
        <w:rPr>
          <w:sz w:val="24"/>
          <w:szCs w:val="24"/>
        </w:rPr>
        <w:t>уб. по расходам в сумме 117847,3</w:t>
      </w:r>
      <w:r w:rsidR="005F3CD6" w:rsidRPr="005F3CD6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руб. с дефицитом в сумме 983,9</w:t>
      </w:r>
      <w:r w:rsidR="005F3CD6" w:rsidRPr="005F3CD6">
        <w:rPr>
          <w:sz w:val="24"/>
          <w:szCs w:val="24"/>
        </w:rPr>
        <w:t xml:space="preserve"> тыс. руб.</w:t>
      </w:r>
    </w:p>
    <w:p w:rsidR="003771FC" w:rsidRDefault="008A2987" w:rsidP="003771FC">
      <w:pPr>
        <w:pStyle w:val="af0"/>
        <w:ind w:firstLine="708"/>
        <w:jc w:val="both"/>
      </w:pPr>
      <w:r>
        <w:t>Доходы бюджета на 2015</w:t>
      </w:r>
      <w:r w:rsidR="005F3CD6" w:rsidRPr="005F3CD6">
        <w:t xml:space="preserve"> го</w:t>
      </w:r>
      <w:r>
        <w:t>д предусмотрены в сумме 123223,0</w:t>
      </w:r>
      <w:r w:rsidR="009D749D">
        <w:t xml:space="preserve"> тыс. руб., что на 41785,1 тыс. руб. или на 25,3</w:t>
      </w:r>
      <w:r w:rsidR="005F3CD6" w:rsidRPr="005F3CD6">
        <w:t xml:space="preserve"> %  ниже </w:t>
      </w:r>
      <w:r w:rsidR="009D749D">
        <w:t xml:space="preserve"> ожидаемого исполнения </w:t>
      </w:r>
      <w:r w:rsidR="005F3CD6" w:rsidRPr="005F3CD6">
        <w:t xml:space="preserve"> дохо</w:t>
      </w:r>
      <w:r w:rsidR="009D749D">
        <w:t xml:space="preserve">дов </w:t>
      </w:r>
      <w:r w:rsidR="005F3CD6" w:rsidRPr="005F3CD6">
        <w:t xml:space="preserve"> бюджета Новосильского района</w:t>
      </w:r>
      <w:r w:rsidR="009D749D">
        <w:t xml:space="preserve"> за 2014 год</w:t>
      </w:r>
      <w:r w:rsidR="005F3CD6" w:rsidRPr="005F3CD6">
        <w:t xml:space="preserve">. </w:t>
      </w:r>
      <w:r w:rsidR="009D749D">
        <w:t>При этом прогнозируется рост</w:t>
      </w:r>
      <w:r w:rsidR="005F3CD6" w:rsidRPr="005F3CD6">
        <w:t xml:space="preserve">  налоговых и </w:t>
      </w:r>
      <w:r w:rsidR="009D749D">
        <w:t>неналоговых доходов на сумму 8696,2 тыс. руб. (на 42,8 %), которые составят 29011,7</w:t>
      </w:r>
      <w:r w:rsidR="005F3CD6" w:rsidRPr="005F3CD6">
        <w:t xml:space="preserve"> тыс. руб.</w:t>
      </w:r>
      <w:r w:rsidR="009D749D">
        <w:t>Основание</w:t>
      </w:r>
      <w:r w:rsidR="0099648F">
        <w:t>м роста собственных доходов является</w:t>
      </w:r>
      <w:r w:rsidR="003771FC">
        <w:t>:</w:t>
      </w:r>
    </w:p>
    <w:p w:rsidR="003771FC" w:rsidRDefault="003771FC" w:rsidP="003771FC">
      <w:pPr>
        <w:pStyle w:val="af0"/>
        <w:ind w:firstLine="708"/>
        <w:jc w:val="both"/>
        <w:rPr>
          <w:snapToGrid w:val="0"/>
          <w:u w:val="single"/>
        </w:rPr>
      </w:pPr>
      <w:r>
        <w:t>-</w:t>
      </w:r>
      <w:r w:rsidRPr="00805E0B">
        <w:rPr>
          <w:snapToGrid w:val="0"/>
          <w:u w:val="single"/>
        </w:rPr>
        <w:t>принятием Закона № 136-ФЗ от 27 мая 2014 года « О внесении изменений в статью 26.3 Федерального закона « Об общих принципах организации законодательных и исполнительных органов государственной власти субъектов в Российской Федерации» и Федеральный закон « Об общих принципах организации местного самоуправления в Российской федерации»</w:t>
      </w:r>
    </w:p>
    <w:p w:rsidR="003771FC" w:rsidRPr="00805E0B" w:rsidRDefault="003771FC" w:rsidP="003771FC">
      <w:pPr>
        <w:pStyle w:val="af0"/>
        <w:ind w:firstLine="708"/>
        <w:jc w:val="both"/>
        <w:rPr>
          <w:snapToGrid w:val="0"/>
          <w:u w:val="single"/>
        </w:rPr>
      </w:pPr>
      <w:r>
        <w:rPr>
          <w:snapToGrid w:val="0"/>
          <w:u w:val="single"/>
        </w:rPr>
        <w:t>- изменение в Бюджетный кодекс внесенные законом от 29.11.2014 года № 383 –ФЗ.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Снижение  безв</w:t>
      </w:r>
      <w:r w:rsidR="003771FC">
        <w:rPr>
          <w:sz w:val="24"/>
          <w:szCs w:val="24"/>
        </w:rPr>
        <w:t xml:space="preserve">озмездных перечислений на 50481,3 тыс. руб. или 34,9 </w:t>
      </w:r>
      <w:r w:rsidRPr="005F3CD6">
        <w:rPr>
          <w:sz w:val="24"/>
          <w:szCs w:val="24"/>
        </w:rPr>
        <w:t xml:space="preserve">% </w:t>
      </w:r>
      <w:r w:rsidR="003771FC">
        <w:rPr>
          <w:sz w:val="24"/>
          <w:szCs w:val="24"/>
        </w:rPr>
        <w:t xml:space="preserve"> к бюджету 2014 года </w:t>
      </w:r>
      <w:r w:rsidRPr="005F3CD6">
        <w:rPr>
          <w:sz w:val="24"/>
          <w:szCs w:val="24"/>
        </w:rPr>
        <w:t>и прогнозируют</w:t>
      </w:r>
      <w:r w:rsidR="003771FC">
        <w:rPr>
          <w:sz w:val="24"/>
          <w:szCs w:val="24"/>
        </w:rPr>
        <w:t>ся  в сумме 94211,3</w:t>
      </w:r>
      <w:r w:rsidRPr="005F3CD6">
        <w:rPr>
          <w:sz w:val="24"/>
          <w:szCs w:val="24"/>
        </w:rPr>
        <w:t xml:space="preserve">  тыс. руб.</w:t>
      </w:r>
    </w:p>
    <w:p w:rsidR="005F3CD6" w:rsidRPr="005F3CD6" w:rsidRDefault="003771FC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Расходы бюджета в 2015</w:t>
      </w:r>
      <w:r w:rsidR="005F3CD6" w:rsidRPr="005F3CD6">
        <w:rPr>
          <w:sz w:val="24"/>
          <w:szCs w:val="24"/>
        </w:rPr>
        <w:t xml:space="preserve"> году, по сравнению с последней редакцией бюдже</w:t>
      </w:r>
      <w:r>
        <w:rPr>
          <w:sz w:val="24"/>
          <w:szCs w:val="24"/>
        </w:rPr>
        <w:t>та 2014 года, уменьшатся на 43635,5</w:t>
      </w:r>
      <w:r w:rsidR="00BA2BD7">
        <w:rPr>
          <w:sz w:val="24"/>
          <w:szCs w:val="24"/>
        </w:rPr>
        <w:t xml:space="preserve"> тыс. руб. или 26,0  % и составят 124107,5</w:t>
      </w:r>
      <w:r w:rsidR="005F3CD6" w:rsidRPr="005F3CD6">
        <w:rPr>
          <w:sz w:val="24"/>
          <w:szCs w:val="24"/>
        </w:rPr>
        <w:t xml:space="preserve">  тыс. руб.</w:t>
      </w:r>
    </w:p>
    <w:p w:rsidR="005F3CD6" w:rsidRPr="005F3CD6" w:rsidRDefault="00BA2BD7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Дефицит бюджета на 2015</w:t>
      </w:r>
      <w:r w:rsidR="005F3CD6" w:rsidRPr="005F3CD6">
        <w:rPr>
          <w:sz w:val="24"/>
          <w:szCs w:val="24"/>
        </w:rPr>
        <w:t xml:space="preserve"> г</w:t>
      </w:r>
      <w:r>
        <w:rPr>
          <w:sz w:val="24"/>
          <w:szCs w:val="24"/>
        </w:rPr>
        <w:t>од прогнозируется в сумме 884,5 тыс. руб. или 3,0</w:t>
      </w:r>
      <w:r w:rsidR="005F3CD6" w:rsidRPr="005F3CD6">
        <w:rPr>
          <w:sz w:val="24"/>
          <w:szCs w:val="24"/>
        </w:rPr>
        <w:t>% к предполагаемому годовому объему доходов бюджета без учета утвержденного объема безвозмездных поступлений и (или) поступлений налоговых доходов по дополн</w:t>
      </w:r>
      <w:r>
        <w:rPr>
          <w:sz w:val="24"/>
          <w:szCs w:val="24"/>
        </w:rPr>
        <w:t>ительным нормативам отчислений, что соответствует требованиям ст. 92.1. Бюджетного кодекса РФ</w:t>
      </w:r>
      <w:r w:rsidR="004773CB">
        <w:rPr>
          <w:sz w:val="24"/>
          <w:szCs w:val="24"/>
        </w:rPr>
        <w:t>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Динамика основных параметров бюджета муниципального образования с учетом оценки за 2013 год и прогноза бюджета на 2014 год и плановый период 2015-2016 годов отражена в таблице № 1:</w:t>
      </w:r>
    </w:p>
    <w:p w:rsidR="005F3CD6" w:rsidRPr="0056174F" w:rsidRDefault="005F3CD6" w:rsidP="0056174F">
      <w:pPr>
        <w:widowControl w:val="0"/>
        <w:ind w:firstLine="851"/>
        <w:jc w:val="both"/>
        <w:rPr>
          <w:sz w:val="24"/>
          <w:szCs w:val="24"/>
        </w:rPr>
      </w:pPr>
    </w:p>
    <w:p w:rsidR="005F3CD6" w:rsidRPr="005F3CD6" w:rsidRDefault="005F3CD6" w:rsidP="005F3CD6">
      <w:pPr>
        <w:widowControl w:val="0"/>
        <w:rPr>
          <w:sz w:val="24"/>
          <w:szCs w:val="24"/>
        </w:rPr>
      </w:pPr>
      <w:r w:rsidRPr="005F3CD6">
        <w:rPr>
          <w:sz w:val="24"/>
          <w:szCs w:val="24"/>
        </w:rPr>
        <w:t xml:space="preserve">                                  Динамика основных параметров Проекта бюджета </w:t>
      </w:r>
    </w:p>
    <w:p w:rsidR="005F3CD6" w:rsidRPr="005F3CD6" w:rsidRDefault="005F3CD6" w:rsidP="005F3CD6">
      <w:pPr>
        <w:widowControl w:val="0"/>
        <w:jc w:val="center"/>
        <w:rPr>
          <w:sz w:val="24"/>
          <w:szCs w:val="24"/>
        </w:rPr>
      </w:pPr>
      <w:r w:rsidRPr="005F3CD6">
        <w:rPr>
          <w:sz w:val="24"/>
          <w:szCs w:val="24"/>
        </w:rPr>
        <w:t xml:space="preserve">Новосильского района </w:t>
      </w:r>
    </w:p>
    <w:p w:rsidR="005F3CD6" w:rsidRPr="005F3CD6" w:rsidRDefault="005F3CD6" w:rsidP="005F3CD6">
      <w:pPr>
        <w:widowControl w:val="0"/>
        <w:ind w:left="851"/>
        <w:jc w:val="center"/>
        <w:rPr>
          <w:sz w:val="24"/>
          <w:szCs w:val="24"/>
        </w:rPr>
      </w:pPr>
      <w:r w:rsidRPr="005F3CD6">
        <w:rPr>
          <w:sz w:val="24"/>
          <w:szCs w:val="24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5"/>
        <w:gridCol w:w="1132"/>
        <w:gridCol w:w="1437"/>
        <w:gridCol w:w="1358"/>
        <w:gridCol w:w="1357"/>
        <w:gridCol w:w="1332"/>
      </w:tblGrid>
      <w:tr w:rsidR="005F3CD6" w:rsidRPr="005F3CD6" w:rsidTr="00BA2BD7">
        <w:trPr>
          <w:jc w:val="center"/>
        </w:trPr>
        <w:tc>
          <w:tcPr>
            <w:tcW w:w="2955" w:type="dxa"/>
            <w:vMerge w:val="restart"/>
            <w:shd w:val="clear" w:color="auto" w:fill="auto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201</w:t>
            </w:r>
            <w:r w:rsidR="00BA2BD7">
              <w:rPr>
                <w:sz w:val="24"/>
                <w:szCs w:val="24"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:rsidR="005F3CD6" w:rsidRPr="005F3CD6" w:rsidRDefault="00BA2BD7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5F3CD6" w:rsidRPr="005F3C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047" w:type="dxa"/>
            <w:gridSpan w:val="3"/>
            <w:shd w:val="clear" w:color="auto" w:fill="auto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Проект бюджета</w:t>
            </w:r>
          </w:p>
        </w:tc>
      </w:tr>
      <w:tr w:rsidR="005F3CD6" w:rsidRPr="005F3CD6" w:rsidTr="00BA2BD7">
        <w:trPr>
          <w:jc w:val="center"/>
        </w:trPr>
        <w:tc>
          <w:tcPr>
            <w:tcW w:w="2955" w:type="dxa"/>
            <w:vMerge/>
            <w:shd w:val="clear" w:color="auto" w:fill="auto"/>
          </w:tcPr>
          <w:p w:rsidR="005F3CD6" w:rsidRPr="005F3CD6" w:rsidRDefault="005F3CD6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факт</w:t>
            </w:r>
          </w:p>
        </w:tc>
        <w:tc>
          <w:tcPr>
            <w:tcW w:w="1437" w:type="dxa"/>
            <w:shd w:val="clear" w:color="auto" w:fill="auto"/>
          </w:tcPr>
          <w:p w:rsidR="00BA2BD7" w:rsidRPr="005F3CD6" w:rsidRDefault="005F3CD6" w:rsidP="00BA2BD7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(оценка)</w:t>
            </w:r>
          </w:p>
        </w:tc>
        <w:tc>
          <w:tcPr>
            <w:tcW w:w="1358" w:type="dxa"/>
            <w:shd w:val="clear" w:color="auto" w:fill="auto"/>
          </w:tcPr>
          <w:p w:rsidR="005F3CD6" w:rsidRPr="005F3CD6" w:rsidRDefault="00BA2BD7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57" w:type="dxa"/>
            <w:shd w:val="clear" w:color="auto" w:fill="auto"/>
          </w:tcPr>
          <w:p w:rsidR="005F3CD6" w:rsidRPr="005F3CD6" w:rsidRDefault="00BA2BD7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2" w:type="dxa"/>
            <w:shd w:val="clear" w:color="auto" w:fill="auto"/>
          </w:tcPr>
          <w:p w:rsidR="005F3CD6" w:rsidRPr="005F3CD6" w:rsidRDefault="00BA2BD7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BA2BD7" w:rsidRPr="005F3CD6" w:rsidTr="00BA2BD7">
        <w:trPr>
          <w:jc w:val="center"/>
        </w:trPr>
        <w:tc>
          <w:tcPr>
            <w:tcW w:w="2955" w:type="dxa"/>
            <w:shd w:val="clear" w:color="auto" w:fill="auto"/>
          </w:tcPr>
          <w:p w:rsidR="00BA2BD7" w:rsidRPr="005F3CD6" w:rsidRDefault="00BA2BD7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Доходы итого (тыс. руб.),</w:t>
            </w:r>
          </w:p>
          <w:p w:rsidR="00BA2BD7" w:rsidRPr="005F3CD6" w:rsidRDefault="00BA2BD7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в том числе: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Прирост к предыдущему году: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тыс. руб.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%</w:t>
            </w:r>
          </w:p>
        </w:tc>
        <w:tc>
          <w:tcPr>
            <w:tcW w:w="1132" w:type="dxa"/>
          </w:tcPr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145778,8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+6331,0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4,5%</w:t>
            </w:r>
          </w:p>
        </w:tc>
        <w:tc>
          <w:tcPr>
            <w:tcW w:w="1437" w:type="dxa"/>
            <w:shd w:val="clear" w:color="auto" w:fill="auto"/>
          </w:tcPr>
          <w:p w:rsidR="00BA2BD7" w:rsidRDefault="00AD60A8" w:rsidP="00AD60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165008,1</w:t>
            </w:r>
          </w:p>
          <w:p w:rsidR="00840A39" w:rsidRDefault="00840A39" w:rsidP="00AD60A8">
            <w:pPr>
              <w:widowControl w:val="0"/>
              <w:rPr>
                <w:sz w:val="24"/>
                <w:szCs w:val="24"/>
              </w:rPr>
            </w:pPr>
          </w:p>
          <w:p w:rsidR="00840A39" w:rsidRDefault="00840A39" w:rsidP="00AD60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+19229,3</w:t>
            </w:r>
          </w:p>
          <w:p w:rsidR="00840A39" w:rsidRPr="005F3CD6" w:rsidRDefault="00840A39" w:rsidP="00AD60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-13,2%</w:t>
            </w:r>
          </w:p>
        </w:tc>
        <w:tc>
          <w:tcPr>
            <w:tcW w:w="1358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123223,0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-41785,1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-25,3%</w:t>
            </w:r>
          </w:p>
        </w:tc>
        <w:tc>
          <w:tcPr>
            <w:tcW w:w="1357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106179,4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-17043,6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-13,8%</w:t>
            </w:r>
          </w:p>
        </w:tc>
        <w:tc>
          <w:tcPr>
            <w:tcW w:w="1332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116863,4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+10684,0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+10,1%</w:t>
            </w:r>
          </w:p>
        </w:tc>
      </w:tr>
      <w:tr w:rsidR="00BA2BD7" w:rsidRPr="005F3CD6" w:rsidTr="00BA2BD7">
        <w:trPr>
          <w:jc w:val="center"/>
        </w:trPr>
        <w:tc>
          <w:tcPr>
            <w:tcW w:w="2955" w:type="dxa"/>
            <w:shd w:val="clear" w:color="auto" w:fill="auto"/>
          </w:tcPr>
          <w:p w:rsidR="00BA2BD7" w:rsidRPr="005F3CD6" w:rsidRDefault="00BA2BD7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Налоговые и неналоговые доходы (тыс. руб.)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Прирост к предыдущему году: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тыс. руб.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%</w:t>
            </w:r>
          </w:p>
        </w:tc>
        <w:tc>
          <w:tcPr>
            <w:tcW w:w="1132" w:type="dxa"/>
          </w:tcPr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30611,8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-3695,1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-10,8%</w:t>
            </w:r>
          </w:p>
        </w:tc>
        <w:tc>
          <w:tcPr>
            <w:tcW w:w="1437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17250,1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-13361,7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-43,6%</w:t>
            </w:r>
          </w:p>
        </w:tc>
        <w:tc>
          <w:tcPr>
            <w:tcW w:w="1358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23946,7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+6696,6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+38,8%</w:t>
            </w:r>
          </w:p>
        </w:tc>
        <w:tc>
          <w:tcPr>
            <w:tcW w:w="1357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24203,7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+257,0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+1,1%</w:t>
            </w:r>
          </w:p>
        </w:tc>
        <w:tc>
          <w:tcPr>
            <w:tcW w:w="1332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27121,3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+2917,6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+12,1%</w:t>
            </w:r>
          </w:p>
        </w:tc>
      </w:tr>
      <w:tr w:rsidR="00BA2BD7" w:rsidRPr="005F3CD6" w:rsidTr="00BA2BD7">
        <w:trPr>
          <w:jc w:val="center"/>
        </w:trPr>
        <w:tc>
          <w:tcPr>
            <w:tcW w:w="2955" w:type="dxa"/>
            <w:shd w:val="clear" w:color="auto" w:fill="auto"/>
          </w:tcPr>
          <w:p w:rsidR="00BA2BD7" w:rsidRPr="005F3CD6" w:rsidRDefault="00BA2BD7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 xml:space="preserve">Безвозмездные </w:t>
            </w:r>
          </w:p>
          <w:p w:rsidR="00BA2BD7" w:rsidRPr="005F3CD6" w:rsidRDefault="00BA2BD7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перечисления (тыс. руб.)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lastRenderedPageBreak/>
              <w:t>Прирост к предыдущему году: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тыс. руб.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%</w:t>
            </w:r>
          </w:p>
        </w:tc>
        <w:tc>
          <w:tcPr>
            <w:tcW w:w="1132" w:type="dxa"/>
          </w:tcPr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lastRenderedPageBreak/>
              <w:t>115167,0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lastRenderedPageBreak/>
              <w:t>+10026,1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+9,5%</w:t>
            </w:r>
          </w:p>
        </w:tc>
        <w:tc>
          <w:tcPr>
            <w:tcW w:w="1437" w:type="dxa"/>
            <w:shd w:val="clear" w:color="auto" w:fill="auto"/>
          </w:tcPr>
          <w:p w:rsidR="00BA2BD7" w:rsidRDefault="00AD60A8" w:rsidP="00AD60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144692,6</w:t>
            </w:r>
          </w:p>
          <w:p w:rsidR="00840A39" w:rsidRDefault="00840A39" w:rsidP="00AD60A8">
            <w:pPr>
              <w:widowControl w:val="0"/>
              <w:rPr>
                <w:sz w:val="24"/>
                <w:szCs w:val="24"/>
              </w:rPr>
            </w:pPr>
          </w:p>
          <w:p w:rsidR="00840A39" w:rsidRDefault="00840A39" w:rsidP="00AD60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+29525,6</w:t>
            </w:r>
          </w:p>
          <w:p w:rsidR="00840A39" w:rsidRPr="005F3CD6" w:rsidRDefault="00840A39" w:rsidP="00AD60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+25,6%</w:t>
            </w:r>
          </w:p>
        </w:tc>
        <w:tc>
          <w:tcPr>
            <w:tcW w:w="1358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94211,3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-50481,3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-34,9%</w:t>
            </w:r>
          </w:p>
        </w:tc>
        <w:tc>
          <w:tcPr>
            <w:tcW w:w="1357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77299,7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-16911,6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-17,9%</w:t>
            </w:r>
          </w:p>
        </w:tc>
        <w:tc>
          <w:tcPr>
            <w:tcW w:w="1332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81211,1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+3911,4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+5,0%</w:t>
            </w:r>
          </w:p>
        </w:tc>
      </w:tr>
      <w:tr w:rsidR="00BA2BD7" w:rsidRPr="005F3CD6" w:rsidTr="00BA2BD7">
        <w:trPr>
          <w:jc w:val="center"/>
        </w:trPr>
        <w:tc>
          <w:tcPr>
            <w:tcW w:w="2955" w:type="dxa"/>
            <w:shd w:val="clear" w:color="auto" w:fill="auto"/>
          </w:tcPr>
          <w:p w:rsidR="00BA2BD7" w:rsidRPr="005F3CD6" w:rsidRDefault="00BA2BD7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lastRenderedPageBreak/>
              <w:t>Расходы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Прирост к предыдущему году: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тыс. руб.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 %</w:t>
            </w:r>
          </w:p>
        </w:tc>
        <w:tc>
          <w:tcPr>
            <w:tcW w:w="1132" w:type="dxa"/>
          </w:tcPr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147592,8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+8547,1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+6,1%</w:t>
            </w:r>
          </w:p>
        </w:tc>
        <w:tc>
          <w:tcPr>
            <w:tcW w:w="1437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167743,0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+20150,2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+13,6%</w:t>
            </w:r>
          </w:p>
        </w:tc>
        <w:tc>
          <w:tcPr>
            <w:tcW w:w="1358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124107,5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-43635,5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-26,0%</w:t>
            </w:r>
          </w:p>
        </w:tc>
        <w:tc>
          <w:tcPr>
            <w:tcW w:w="1357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107097,6</w:t>
            </w: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A39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-17009,9</w:t>
            </w:r>
          </w:p>
          <w:p w:rsidR="00840A39" w:rsidRPr="005F3CD6" w:rsidRDefault="00840A39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-13,7%</w:t>
            </w:r>
          </w:p>
        </w:tc>
        <w:tc>
          <w:tcPr>
            <w:tcW w:w="1332" w:type="dxa"/>
            <w:shd w:val="clear" w:color="auto" w:fill="auto"/>
          </w:tcPr>
          <w:p w:rsidR="00BA2BD7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117847,3</w:t>
            </w:r>
          </w:p>
          <w:p w:rsidR="00840A39" w:rsidRDefault="00840A39" w:rsidP="00840A39">
            <w:pPr>
              <w:widowControl w:val="0"/>
              <w:rPr>
                <w:sz w:val="24"/>
                <w:szCs w:val="24"/>
              </w:rPr>
            </w:pPr>
          </w:p>
          <w:p w:rsidR="00840A39" w:rsidRDefault="00840A39" w:rsidP="00840A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+10749,7</w:t>
            </w:r>
          </w:p>
          <w:p w:rsidR="00840A39" w:rsidRPr="005F3CD6" w:rsidRDefault="00840A39" w:rsidP="00840A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+10,0%</w:t>
            </w:r>
          </w:p>
        </w:tc>
      </w:tr>
      <w:tr w:rsidR="00BA2BD7" w:rsidRPr="005F3CD6" w:rsidTr="00840A39">
        <w:trPr>
          <w:trHeight w:val="1142"/>
          <w:jc w:val="center"/>
        </w:trPr>
        <w:tc>
          <w:tcPr>
            <w:tcW w:w="2955" w:type="dxa"/>
            <w:shd w:val="clear" w:color="auto" w:fill="auto"/>
          </w:tcPr>
          <w:p w:rsidR="00BA2BD7" w:rsidRPr="005F3CD6" w:rsidRDefault="00BA2BD7" w:rsidP="006D0E52">
            <w:pPr>
              <w:widowControl w:val="0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Дефицит (-)/Профицит (+) (тыс. руб.)</w:t>
            </w:r>
          </w:p>
          <w:p w:rsidR="00BA2BD7" w:rsidRPr="005F3CD6" w:rsidRDefault="00BA2BD7" w:rsidP="006D0E5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-1814,0</w:t>
            </w: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2BD7" w:rsidRPr="005F3CD6" w:rsidRDefault="00BA2BD7" w:rsidP="009443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BA2BD7" w:rsidRPr="005F3CD6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-2734,9</w:t>
            </w:r>
          </w:p>
        </w:tc>
        <w:tc>
          <w:tcPr>
            <w:tcW w:w="1358" w:type="dxa"/>
            <w:shd w:val="clear" w:color="auto" w:fill="auto"/>
          </w:tcPr>
          <w:p w:rsidR="00BA2BD7" w:rsidRPr="005F3CD6" w:rsidRDefault="00AD60A8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-884,5</w:t>
            </w:r>
          </w:p>
        </w:tc>
        <w:tc>
          <w:tcPr>
            <w:tcW w:w="1357" w:type="dxa"/>
            <w:shd w:val="clear" w:color="auto" w:fill="auto"/>
          </w:tcPr>
          <w:p w:rsidR="00BA2BD7" w:rsidRPr="005F3CD6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-918,2</w:t>
            </w:r>
          </w:p>
        </w:tc>
        <w:tc>
          <w:tcPr>
            <w:tcW w:w="1332" w:type="dxa"/>
            <w:shd w:val="clear" w:color="auto" w:fill="auto"/>
          </w:tcPr>
          <w:p w:rsidR="00BA2BD7" w:rsidRPr="005F3CD6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983,9</w:t>
            </w:r>
          </w:p>
        </w:tc>
      </w:tr>
    </w:tbl>
    <w:p w:rsidR="005F3CD6" w:rsidRPr="005F3CD6" w:rsidRDefault="005F3CD6" w:rsidP="005F3CD6">
      <w:pPr>
        <w:ind w:firstLine="708"/>
        <w:jc w:val="both"/>
        <w:rPr>
          <w:sz w:val="24"/>
          <w:szCs w:val="24"/>
        </w:rPr>
      </w:pP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При проведении анализа данных из вышеуказанной таблицы прослеживается   нестабильность повышение общей суммы доходов по сравнению с 2013 годом. </w:t>
      </w:r>
    </w:p>
    <w:p w:rsid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По расходам бюджета планируется ув</w:t>
      </w:r>
      <w:r w:rsidR="0056174F">
        <w:rPr>
          <w:sz w:val="24"/>
          <w:szCs w:val="24"/>
        </w:rPr>
        <w:t>еличение планового объема в 2014году по сравнению с 2013 годом на 20150,2 тыс. рублей, снижение в 2015 году на 43635,5</w:t>
      </w:r>
      <w:r w:rsidRPr="005F3CD6">
        <w:rPr>
          <w:sz w:val="24"/>
          <w:szCs w:val="24"/>
        </w:rPr>
        <w:t xml:space="preserve"> тыс. </w:t>
      </w:r>
      <w:r w:rsidR="0056174F">
        <w:rPr>
          <w:sz w:val="24"/>
          <w:szCs w:val="24"/>
        </w:rPr>
        <w:t>руб.</w:t>
      </w:r>
    </w:p>
    <w:p w:rsidR="0056174F" w:rsidRPr="005F3CD6" w:rsidRDefault="0056174F" w:rsidP="005F3CD6">
      <w:pPr>
        <w:widowControl w:val="0"/>
        <w:ind w:firstLine="851"/>
        <w:jc w:val="both"/>
        <w:rPr>
          <w:b/>
          <w:sz w:val="24"/>
          <w:szCs w:val="24"/>
        </w:rPr>
      </w:pPr>
    </w:p>
    <w:p w:rsidR="005F3CD6" w:rsidRPr="005F3CD6" w:rsidRDefault="005F3CD6" w:rsidP="005F3CD6">
      <w:pPr>
        <w:widowControl w:val="0"/>
        <w:jc w:val="center"/>
        <w:rPr>
          <w:b/>
          <w:sz w:val="24"/>
          <w:szCs w:val="24"/>
        </w:rPr>
      </w:pPr>
      <w:r w:rsidRPr="00C26318">
        <w:rPr>
          <w:b/>
          <w:sz w:val="24"/>
          <w:szCs w:val="24"/>
        </w:rPr>
        <w:t>Прогнозируемые дох</w:t>
      </w:r>
      <w:r w:rsidR="00AD60A8" w:rsidRPr="00C26318">
        <w:rPr>
          <w:b/>
          <w:sz w:val="24"/>
          <w:szCs w:val="24"/>
        </w:rPr>
        <w:t>оды районного  бюджета на 2015 год и плановый период 2016 и 2017</w:t>
      </w:r>
      <w:r w:rsidRPr="00C26318">
        <w:rPr>
          <w:b/>
          <w:sz w:val="24"/>
          <w:szCs w:val="24"/>
        </w:rPr>
        <w:t xml:space="preserve"> годов</w:t>
      </w:r>
    </w:p>
    <w:p w:rsidR="005F3CD6" w:rsidRPr="005F3CD6" w:rsidRDefault="005F3CD6" w:rsidP="005F3CD6">
      <w:pPr>
        <w:widowControl w:val="0"/>
        <w:ind w:left="851"/>
        <w:jc w:val="center"/>
        <w:rPr>
          <w:b/>
          <w:sz w:val="24"/>
          <w:szCs w:val="24"/>
        </w:rPr>
      </w:pPr>
    </w:p>
    <w:p w:rsidR="005F3CD6" w:rsidRPr="005F3CD6" w:rsidRDefault="0018751C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2015</w:t>
      </w:r>
      <w:r w:rsidR="005F3CD6" w:rsidRPr="005F3CD6">
        <w:rPr>
          <w:sz w:val="24"/>
          <w:szCs w:val="24"/>
        </w:rPr>
        <w:t xml:space="preserve"> год доходы Проекта бюджет</w:t>
      </w:r>
      <w:r w:rsidR="0056174F">
        <w:rPr>
          <w:sz w:val="24"/>
          <w:szCs w:val="24"/>
        </w:rPr>
        <w:t>а предусмотрены в сумме 123223,0</w:t>
      </w:r>
      <w:r w:rsidR="005F3CD6" w:rsidRPr="005F3CD6">
        <w:rPr>
          <w:sz w:val="24"/>
          <w:szCs w:val="24"/>
        </w:rPr>
        <w:t xml:space="preserve"> тыс. руб. с приростом на 6,9% относительно первой </w:t>
      </w:r>
      <w:r>
        <w:rPr>
          <w:sz w:val="24"/>
          <w:szCs w:val="24"/>
        </w:rPr>
        <w:t>редакции бюджета, решением  № 652 от 27.12.2013г.«О районном бюджете на 2014 год и плановый период 2015-2016</w:t>
      </w:r>
      <w:r w:rsidR="005F3CD6" w:rsidRPr="005F3CD6">
        <w:rPr>
          <w:sz w:val="24"/>
          <w:szCs w:val="24"/>
        </w:rPr>
        <w:t>гг» и снижением  на 10,9% по отношению к последней редакции  районного бюджета на 2013 год, в том числе: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без учета получаемых из краевого бюджета субсидий, субвенций и межбюджетных трансфертов (далее - безвозмездные поступления) доходная часть Проекта бюджета запланирована на 2014 год в сумме 22722,9 тыс. руб. с  сокращением к оценке бюджета района  на 2013 год на - 3,5%.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планируемый объем безвозмездных поступлений в 2014 году по сравнению с первой редакцией бюджета района  на 2013 год увеличивается на 17,7%, и снижением на 7,0% относительно последней редакцией и составит 115167,0 тыс. руб.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Объем доходов на 2015 год оценивается в сумме 124681,6 тыс. руб. (спад  к 2014 году на 4,0%) и на 2016 год в сумме 127260,8тыс. руб. (с приростом к 2015 году на 2,1%):</w:t>
      </w:r>
    </w:p>
    <w:p w:rsidR="005F3CD6" w:rsidRPr="005F3CD6" w:rsidRDefault="005F3CD6" w:rsidP="005F3CD6">
      <w:pPr>
        <w:widowControl w:val="0"/>
        <w:jc w:val="both"/>
        <w:rPr>
          <w:i/>
          <w:sz w:val="24"/>
          <w:szCs w:val="24"/>
        </w:rPr>
      </w:pPr>
      <w:r w:rsidRPr="005F3CD6">
        <w:rPr>
          <w:i/>
          <w:sz w:val="24"/>
          <w:szCs w:val="24"/>
        </w:rPr>
        <w:t xml:space="preserve">                                                                                                                                  Таблица №2</w:t>
      </w:r>
    </w:p>
    <w:p w:rsidR="005F3CD6" w:rsidRPr="005F3CD6" w:rsidRDefault="005F3CD6" w:rsidP="005F3CD6">
      <w:pPr>
        <w:widowControl w:val="0"/>
        <w:ind w:firstLine="851"/>
        <w:jc w:val="center"/>
        <w:rPr>
          <w:sz w:val="24"/>
          <w:szCs w:val="24"/>
        </w:rPr>
      </w:pPr>
      <w:r w:rsidRPr="005F3CD6">
        <w:rPr>
          <w:sz w:val="24"/>
          <w:szCs w:val="24"/>
        </w:rPr>
        <w:t>Структура дох</w:t>
      </w:r>
      <w:r w:rsidR="00AD60A8">
        <w:rPr>
          <w:sz w:val="24"/>
          <w:szCs w:val="24"/>
        </w:rPr>
        <w:t>одов районного  бюджета  на 2014-2017</w:t>
      </w:r>
      <w:r w:rsidRPr="005F3CD6">
        <w:rPr>
          <w:sz w:val="24"/>
          <w:szCs w:val="24"/>
        </w:rPr>
        <w:t xml:space="preserve"> годы</w:t>
      </w:r>
    </w:p>
    <w:p w:rsidR="005F3CD6" w:rsidRPr="005F3CD6" w:rsidRDefault="005F3CD6" w:rsidP="005F3CD6">
      <w:pPr>
        <w:widowControl w:val="0"/>
        <w:ind w:firstLine="851"/>
        <w:jc w:val="center"/>
        <w:rPr>
          <w:sz w:val="24"/>
          <w:szCs w:val="24"/>
        </w:rPr>
      </w:pPr>
      <w:r w:rsidRPr="005F3CD6">
        <w:rPr>
          <w:sz w:val="24"/>
          <w:szCs w:val="24"/>
        </w:rPr>
        <w:t>тыс.руб.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314"/>
        <w:gridCol w:w="790"/>
        <w:gridCol w:w="1185"/>
        <w:gridCol w:w="790"/>
        <w:gridCol w:w="1185"/>
        <w:gridCol w:w="790"/>
        <w:gridCol w:w="1185"/>
        <w:gridCol w:w="790"/>
      </w:tblGrid>
      <w:tr w:rsidR="005F3CD6" w:rsidRPr="005F3CD6" w:rsidTr="006D0E52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По</w:t>
            </w:r>
            <w:r w:rsidR="00AD60A8">
              <w:rPr>
                <w:sz w:val="24"/>
                <w:szCs w:val="24"/>
              </w:rPr>
              <w:t>следняя редакция бюджета на 2014</w:t>
            </w:r>
            <w:r w:rsidRPr="005F3CD6">
              <w:rPr>
                <w:sz w:val="24"/>
                <w:szCs w:val="24"/>
              </w:rPr>
              <w:t xml:space="preserve"> год,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тыс. руб.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Доля,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%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56174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бюджета на 2015</w:t>
            </w:r>
            <w:r w:rsidR="005F3CD6" w:rsidRPr="005F3CD6">
              <w:rPr>
                <w:sz w:val="24"/>
                <w:szCs w:val="24"/>
              </w:rPr>
              <w:t xml:space="preserve"> год,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тыс. руб.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Доля,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%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бюджета на 2016</w:t>
            </w:r>
            <w:r w:rsidR="005F3CD6" w:rsidRPr="005F3CD6">
              <w:rPr>
                <w:sz w:val="24"/>
                <w:szCs w:val="24"/>
              </w:rPr>
              <w:t xml:space="preserve"> год,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тыс. руб.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Доля,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%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AD60A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бюджета на 2017</w:t>
            </w:r>
            <w:r w:rsidR="005F3CD6" w:rsidRPr="005F3CD6">
              <w:rPr>
                <w:sz w:val="24"/>
                <w:szCs w:val="24"/>
              </w:rPr>
              <w:t xml:space="preserve"> год,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тыс. руб.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Доля,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%</w:t>
            </w:r>
          </w:p>
        </w:tc>
      </w:tr>
      <w:tr w:rsidR="005F3CD6" w:rsidRPr="005F3CD6" w:rsidTr="006D0E52">
        <w:trPr>
          <w:jc w:val="center"/>
        </w:trPr>
        <w:tc>
          <w:tcPr>
            <w:tcW w:w="2166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lastRenderedPageBreak/>
              <w:t>Налоговые и неналоговые доходы в том числе: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56174F" w:rsidP="005617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22722,9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B7587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29011,7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B7587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4773CB">
              <w:rPr>
                <w:sz w:val="24"/>
                <w:szCs w:val="24"/>
              </w:rPr>
              <w:t>79,7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35652,3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5F3CD6" w:rsidRPr="005F3CD6" w:rsidTr="006D0E52">
        <w:trPr>
          <w:jc w:val="center"/>
        </w:trPr>
        <w:tc>
          <w:tcPr>
            <w:tcW w:w="2166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5F3CD6">
              <w:rPr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9443D6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B7587F">
              <w:rPr>
                <w:i/>
                <w:sz w:val="24"/>
                <w:szCs w:val="24"/>
              </w:rPr>
              <w:t>9391,9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B7587F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23946,7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24203,7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22,8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30757,3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26,3</w:t>
            </w:r>
          </w:p>
        </w:tc>
      </w:tr>
      <w:tr w:rsidR="005F3CD6" w:rsidRPr="005F3CD6" w:rsidTr="006D0E52">
        <w:trPr>
          <w:jc w:val="center"/>
        </w:trPr>
        <w:tc>
          <w:tcPr>
            <w:tcW w:w="2166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5F3CD6">
              <w:rPr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9443D6" w:rsidP="009443D6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3331,0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B7587F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5065,0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4676,0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4895,0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4,2</w:t>
            </w:r>
          </w:p>
        </w:tc>
      </w:tr>
      <w:tr w:rsidR="005F3CD6" w:rsidRPr="005F3CD6" w:rsidTr="006D0E52">
        <w:trPr>
          <w:jc w:val="center"/>
        </w:trPr>
        <w:tc>
          <w:tcPr>
            <w:tcW w:w="2166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56174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443D6">
              <w:rPr>
                <w:sz w:val="24"/>
                <w:szCs w:val="24"/>
              </w:rPr>
              <w:t>6933,8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B7587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94211,3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77299,7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4773CB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81211,1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5F3CD6" w:rsidRPr="005F3CD6" w:rsidTr="006D0E52">
        <w:trPr>
          <w:jc w:val="center"/>
        </w:trPr>
        <w:tc>
          <w:tcPr>
            <w:tcW w:w="2166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jc w:val="both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Доходы 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56174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7587F">
              <w:rPr>
                <w:sz w:val="24"/>
                <w:szCs w:val="24"/>
              </w:rPr>
              <w:t>9656,7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B7587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9443D6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123223,0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9443D6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106179,4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F3CD6" w:rsidRPr="005F3CD6" w:rsidRDefault="009443D6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116863,4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CD6" w:rsidRPr="005F3CD6" w:rsidRDefault="00450C80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</w:p>
    <w:p w:rsidR="00CF4631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Из предоставл</w:t>
      </w:r>
      <w:r w:rsidR="00450C80">
        <w:rPr>
          <w:sz w:val="24"/>
          <w:szCs w:val="24"/>
        </w:rPr>
        <w:t>енных данных видно, что в 2015</w:t>
      </w:r>
      <w:r w:rsidRPr="005F3CD6">
        <w:rPr>
          <w:sz w:val="24"/>
          <w:szCs w:val="24"/>
        </w:rPr>
        <w:t xml:space="preserve"> году при планировании  бюджет</w:t>
      </w:r>
      <w:r w:rsidR="00450C80">
        <w:rPr>
          <w:sz w:val="24"/>
          <w:szCs w:val="24"/>
        </w:rPr>
        <w:t xml:space="preserve">а предусматривается значительный рост </w:t>
      </w:r>
      <w:r w:rsidRPr="005F3CD6">
        <w:rPr>
          <w:sz w:val="24"/>
          <w:szCs w:val="24"/>
        </w:rPr>
        <w:t xml:space="preserve">  доли собственных доходов</w:t>
      </w:r>
      <w:r w:rsidR="00CF4631">
        <w:rPr>
          <w:sz w:val="24"/>
          <w:szCs w:val="24"/>
        </w:rPr>
        <w:t>( на 10,1%)</w:t>
      </w:r>
      <w:r w:rsidRPr="005F3CD6">
        <w:rPr>
          <w:sz w:val="24"/>
          <w:szCs w:val="24"/>
        </w:rPr>
        <w:t xml:space="preserve"> в общем об</w:t>
      </w:r>
      <w:r w:rsidR="00CF4631">
        <w:rPr>
          <w:sz w:val="24"/>
          <w:szCs w:val="24"/>
        </w:rPr>
        <w:t xml:space="preserve">ъеме доходов по сравнению с  последним утвержденным бюджетом 2014 годом. На протяжении всего анализируемого периода  </w:t>
      </w:r>
      <w:r w:rsidRPr="005F3CD6">
        <w:rPr>
          <w:sz w:val="24"/>
          <w:szCs w:val="24"/>
        </w:rPr>
        <w:t xml:space="preserve"> с </w:t>
      </w:r>
      <w:r w:rsidR="00CF4631">
        <w:rPr>
          <w:sz w:val="24"/>
          <w:szCs w:val="24"/>
        </w:rPr>
        <w:t>2014 года по 2017 год наблюдается скачкообразная динамика в доле собственных доходов районного бюджета.</w:t>
      </w:r>
    </w:p>
    <w:p w:rsidR="005F3CD6" w:rsidRPr="005F3CD6" w:rsidRDefault="00CF4631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2015год в структуре доходной части п</w:t>
      </w:r>
      <w:r w:rsidR="005F3CD6" w:rsidRPr="005F3CD6">
        <w:rPr>
          <w:sz w:val="24"/>
          <w:szCs w:val="24"/>
        </w:rPr>
        <w:t>роекта бюджета доля налоговых и н</w:t>
      </w:r>
      <w:r>
        <w:rPr>
          <w:sz w:val="24"/>
          <w:szCs w:val="24"/>
        </w:rPr>
        <w:t>еналоговых доходов составит 23,5</w:t>
      </w:r>
      <w:r w:rsidR="005F3CD6" w:rsidRPr="005F3CD6">
        <w:rPr>
          <w:sz w:val="24"/>
          <w:szCs w:val="24"/>
        </w:rPr>
        <w:t xml:space="preserve"> %.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Налого</w:t>
      </w:r>
      <w:r w:rsidR="002B2227">
        <w:rPr>
          <w:sz w:val="24"/>
          <w:szCs w:val="24"/>
        </w:rPr>
        <w:t>вые и неналоговые доходы на 2016</w:t>
      </w:r>
      <w:r w:rsidRPr="005F3CD6">
        <w:rPr>
          <w:sz w:val="24"/>
          <w:szCs w:val="24"/>
        </w:rPr>
        <w:t xml:space="preserve"> г</w:t>
      </w:r>
      <w:r w:rsidR="002B2227">
        <w:rPr>
          <w:sz w:val="24"/>
          <w:szCs w:val="24"/>
        </w:rPr>
        <w:t>од запланированы в сумме 28879,7тыс. руб. (27,2</w:t>
      </w:r>
      <w:r w:rsidRPr="005F3CD6">
        <w:rPr>
          <w:sz w:val="24"/>
          <w:szCs w:val="24"/>
        </w:rPr>
        <w:t>% в структуре доходов), на 20</w:t>
      </w:r>
      <w:r w:rsidR="002B2227">
        <w:rPr>
          <w:sz w:val="24"/>
          <w:szCs w:val="24"/>
        </w:rPr>
        <w:t>17 год в сумме 35652,3 тыс. руб. (30,5</w:t>
      </w:r>
      <w:r w:rsidRPr="005F3CD6">
        <w:rPr>
          <w:sz w:val="24"/>
          <w:szCs w:val="24"/>
        </w:rPr>
        <w:t>% в структуре доходов).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В структуре</w:t>
      </w:r>
      <w:r w:rsidR="002B2227">
        <w:rPr>
          <w:sz w:val="24"/>
          <w:szCs w:val="24"/>
        </w:rPr>
        <w:t xml:space="preserve"> доходов Проекта бюджета на 2015</w:t>
      </w:r>
      <w:r w:rsidRPr="005F3CD6">
        <w:rPr>
          <w:sz w:val="24"/>
          <w:szCs w:val="24"/>
        </w:rPr>
        <w:t xml:space="preserve"> год безвозмездные поступления запланированы в форме субсидий, субвенций, иных межбюджетных трансферт</w:t>
      </w:r>
      <w:r w:rsidR="002B2227">
        <w:rPr>
          <w:sz w:val="24"/>
          <w:szCs w:val="24"/>
        </w:rPr>
        <w:t>ов и составляют в сумме 94211,3  тыс. руб. или76,5</w:t>
      </w:r>
      <w:r w:rsidRPr="005F3CD6">
        <w:rPr>
          <w:sz w:val="24"/>
          <w:szCs w:val="24"/>
        </w:rPr>
        <w:t xml:space="preserve"> %.</w:t>
      </w:r>
    </w:p>
    <w:p w:rsidR="005F3CD6" w:rsidRDefault="005F3CD6" w:rsidP="00F14BE7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Б</w:t>
      </w:r>
      <w:r w:rsidR="002B2227">
        <w:rPr>
          <w:sz w:val="24"/>
          <w:szCs w:val="24"/>
        </w:rPr>
        <w:t>езвозмездные поступления на 2016</w:t>
      </w:r>
      <w:r w:rsidRPr="005F3CD6">
        <w:rPr>
          <w:sz w:val="24"/>
          <w:szCs w:val="24"/>
        </w:rPr>
        <w:t xml:space="preserve"> го</w:t>
      </w:r>
      <w:r w:rsidR="002B2227">
        <w:rPr>
          <w:sz w:val="24"/>
          <w:szCs w:val="24"/>
        </w:rPr>
        <w:t>д запланированы в сумме 77299,7 тыс. руб. (72,8</w:t>
      </w:r>
      <w:r w:rsidRPr="005F3CD6">
        <w:rPr>
          <w:sz w:val="24"/>
          <w:szCs w:val="24"/>
        </w:rPr>
        <w:t>%), на</w:t>
      </w:r>
      <w:r w:rsidR="00F224FA">
        <w:rPr>
          <w:sz w:val="24"/>
          <w:szCs w:val="24"/>
        </w:rPr>
        <w:t xml:space="preserve"> 201</w:t>
      </w:r>
      <w:r w:rsidR="002B2227">
        <w:rPr>
          <w:sz w:val="24"/>
          <w:szCs w:val="24"/>
        </w:rPr>
        <w:t>7год в сумме 81211,1 тыс. руб. ( 69,5</w:t>
      </w:r>
      <w:r w:rsidRPr="005F3CD6">
        <w:rPr>
          <w:sz w:val="24"/>
          <w:szCs w:val="24"/>
        </w:rPr>
        <w:t>% в структуре доходов).</w:t>
      </w:r>
    </w:p>
    <w:p w:rsidR="00F224FA" w:rsidRPr="00F14BE7" w:rsidRDefault="00F224FA" w:rsidP="00F14BE7">
      <w:pPr>
        <w:widowControl w:val="0"/>
        <w:ind w:firstLine="851"/>
        <w:jc w:val="both"/>
        <w:rPr>
          <w:sz w:val="24"/>
          <w:szCs w:val="24"/>
        </w:rPr>
      </w:pPr>
    </w:p>
    <w:p w:rsidR="005F3CD6" w:rsidRPr="005F3CD6" w:rsidRDefault="005F3CD6" w:rsidP="005F3CD6">
      <w:pPr>
        <w:widowControl w:val="0"/>
        <w:jc w:val="center"/>
        <w:rPr>
          <w:sz w:val="24"/>
          <w:szCs w:val="24"/>
        </w:rPr>
      </w:pPr>
      <w:r w:rsidRPr="005F3CD6">
        <w:rPr>
          <w:sz w:val="24"/>
          <w:szCs w:val="24"/>
        </w:rPr>
        <w:t xml:space="preserve">Структура собственных доходов  районного бюджета </w:t>
      </w:r>
    </w:p>
    <w:p w:rsidR="005F3CD6" w:rsidRPr="005F3CD6" w:rsidRDefault="005F3CD6" w:rsidP="005F3CD6">
      <w:pPr>
        <w:widowControl w:val="0"/>
        <w:jc w:val="center"/>
        <w:rPr>
          <w:sz w:val="24"/>
          <w:szCs w:val="24"/>
        </w:rPr>
      </w:pPr>
      <w:r w:rsidRPr="005F3CD6">
        <w:rPr>
          <w:sz w:val="24"/>
          <w:szCs w:val="24"/>
        </w:rPr>
        <w:t xml:space="preserve">в разрезе групп доходов на 2013-2016 год             </w:t>
      </w:r>
    </w:p>
    <w:p w:rsidR="005F3CD6" w:rsidRPr="005F3CD6" w:rsidRDefault="005F3CD6" w:rsidP="005F3CD6">
      <w:pPr>
        <w:widowControl w:val="0"/>
        <w:jc w:val="both"/>
        <w:rPr>
          <w:sz w:val="24"/>
          <w:szCs w:val="24"/>
        </w:rPr>
      </w:pPr>
    </w:p>
    <w:p w:rsidR="005F3CD6" w:rsidRPr="00F14BE7" w:rsidRDefault="00F14BE7" w:rsidP="00F14BE7">
      <w:pPr>
        <w:widowControl w:val="0"/>
        <w:ind w:firstLine="851"/>
        <w:jc w:val="right"/>
        <w:rPr>
          <w:i/>
          <w:sz w:val="24"/>
          <w:szCs w:val="24"/>
        </w:rPr>
      </w:pPr>
      <w:r w:rsidRPr="005F3CD6">
        <w:rPr>
          <w:i/>
          <w:sz w:val="24"/>
          <w:szCs w:val="24"/>
        </w:rPr>
        <w:t>Таблица 3</w:t>
      </w:r>
      <w:r>
        <w:rPr>
          <w:i/>
          <w:sz w:val="24"/>
          <w:szCs w:val="24"/>
        </w:rPr>
        <w:t>.(тыс.руб.)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4"/>
        <w:gridCol w:w="1026"/>
        <w:gridCol w:w="941"/>
        <w:gridCol w:w="1024"/>
        <w:gridCol w:w="1024"/>
        <w:gridCol w:w="1024"/>
        <w:gridCol w:w="1024"/>
        <w:gridCol w:w="1024"/>
      </w:tblGrid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 w:rsidR="005F3CD6" w:rsidRPr="002B2227" w:rsidRDefault="005F3CD6" w:rsidP="006D0E52">
            <w:pPr>
              <w:widowControl w:val="0"/>
              <w:jc w:val="center"/>
              <w:rPr>
                <w:sz w:val="22"/>
                <w:szCs w:val="22"/>
              </w:rPr>
            </w:pPr>
            <w:r w:rsidRPr="002B2227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A74DC" w:rsidRDefault="004A74DC" w:rsidP="004A74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5F3CD6" w:rsidRDefault="002B2227" w:rsidP="004A74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5F3CD6" w:rsidRPr="002B2227">
              <w:rPr>
                <w:sz w:val="22"/>
                <w:szCs w:val="22"/>
              </w:rPr>
              <w:t xml:space="preserve"> года</w:t>
            </w:r>
          </w:p>
          <w:p w:rsidR="004A74DC" w:rsidRDefault="004A74DC" w:rsidP="004A74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измен.</w:t>
            </w:r>
          </w:p>
          <w:p w:rsidR="004A74DC" w:rsidRDefault="004A74DC" w:rsidP="004A74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от18.12.</w:t>
            </w:r>
          </w:p>
          <w:p w:rsidR="004A74DC" w:rsidRPr="002B2227" w:rsidRDefault="004A74DC" w:rsidP="004A74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2014г.)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2B2227" w:rsidRDefault="002B2227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бюджета на 2015</w:t>
            </w:r>
            <w:r w:rsidR="005F3CD6" w:rsidRPr="002B222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22A5" w:rsidRDefault="008B22A5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</w:p>
          <w:p w:rsidR="005F3CD6" w:rsidRPr="002B2227" w:rsidRDefault="008B22A5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(+,-)</w:t>
            </w:r>
            <w:r w:rsidR="005F3CD6" w:rsidRPr="002B2227">
              <w:rPr>
                <w:sz w:val="22"/>
                <w:szCs w:val="22"/>
              </w:rPr>
              <w:t>%</w:t>
            </w:r>
          </w:p>
          <w:p w:rsidR="002B2227" w:rsidRDefault="005F3CD6" w:rsidP="006D0E52">
            <w:pPr>
              <w:widowControl w:val="0"/>
              <w:jc w:val="center"/>
              <w:rPr>
                <w:sz w:val="22"/>
                <w:szCs w:val="22"/>
              </w:rPr>
            </w:pPr>
            <w:r w:rsidRPr="002B2227">
              <w:rPr>
                <w:sz w:val="22"/>
                <w:szCs w:val="22"/>
              </w:rPr>
              <w:t>к оценке бю</w:t>
            </w:r>
            <w:r w:rsidR="002B2227">
              <w:rPr>
                <w:sz w:val="22"/>
                <w:szCs w:val="22"/>
              </w:rPr>
              <w:t>джета 2014</w:t>
            </w:r>
          </w:p>
          <w:p w:rsidR="005F3CD6" w:rsidRPr="002B2227" w:rsidRDefault="005F3CD6" w:rsidP="006D0E52">
            <w:pPr>
              <w:widowControl w:val="0"/>
              <w:jc w:val="center"/>
              <w:rPr>
                <w:sz w:val="22"/>
                <w:szCs w:val="22"/>
              </w:rPr>
            </w:pPr>
            <w:r w:rsidRPr="002B2227">
              <w:rPr>
                <w:sz w:val="22"/>
                <w:szCs w:val="22"/>
              </w:rPr>
              <w:t>года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2B2227" w:rsidRDefault="002B2227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бюджета на 2016</w:t>
            </w:r>
            <w:r w:rsidR="005F3CD6" w:rsidRPr="002B222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2B2227" w:rsidRDefault="008B22A5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Отклонения(+,-) </w:t>
            </w:r>
            <w:r w:rsidR="005F3CD6" w:rsidRPr="002B2227">
              <w:rPr>
                <w:sz w:val="22"/>
                <w:szCs w:val="22"/>
              </w:rPr>
              <w:t>%</w:t>
            </w:r>
          </w:p>
          <w:p w:rsidR="005F3CD6" w:rsidRPr="002B2227" w:rsidRDefault="002B2227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проекту бюджета 2015</w:t>
            </w:r>
            <w:r w:rsidR="005F3CD6" w:rsidRPr="002B22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2B2227" w:rsidRDefault="002B2227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бюджета на 2017</w:t>
            </w:r>
            <w:r w:rsidR="005F3CD6" w:rsidRPr="002B222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2B2227" w:rsidRDefault="008B22A5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Отклонения(+,-) </w:t>
            </w:r>
            <w:r w:rsidR="005F3CD6" w:rsidRPr="002B2227">
              <w:rPr>
                <w:sz w:val="22"/>
                <w:szCs w:val="22"/>
              </w:rPr>
              <w:t>%</w:t>
            </w:r>
          </w:p>
          <w:p w:rsidR="005F3CD6" w:rsidRPr="002B2227" w:rsidRDefault="002B2227" w:rsidP="006D0E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проекту бюджета 2016</w:t>
            </w:r>
            <w:r w:rsidR="005F3CD6" w:rsidRPr="002B2227">
              <w:rPr>
                <w:sz w:val="22"/>
                <w:szCs w:val="22"/>
              </w:rPr>
              <w:t xml:space="preserve"> года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Налоговые и неналоговые доходы всего, в том числе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22722,9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4A74DC" w:rsidRDefault="004A74DC" w:rsidP="006D0E5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A74DC">
              <w:rPr>
                <w:b/>
                <w:sz w:val="22"/>
                <w:szCs w:val="22"/>
              </w:rPr>
              <w:t>29011,7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+27,7%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28879,7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35652,3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+23,5%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Налоговые доходы, в том числе: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19391,9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4A74DC" w:rsidRDefault="004A74DC" w:rsidP="006D0E5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A74DC">
              <w:rPr>
                <w:b/>
                <w:sz w:val="22"/>
                <w:szCs w:val="22"/>
              </w:rPr>
              <w:t>23946,7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+23,5%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24203,7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+1,1%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30757,3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+27,1%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14326,9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4A74DC" w:rsidRDefault="004A74DC" w:rsidP="006D0E52">
            <w:pPr>
              <w:widowControl w:val="0"/>
              <w:jc w:val="center"/>
              <w:rPr>
                <w:sz w:val="22"/>
                <w:szCs w:val="22"/>
              </w:rPr>
            </w:pPr>
            <w:r w:rsidRPr="004A74DC">
              <w:rPr>
                <w:sz w:val="22"/>
                <w:szCs w:val="22"/>
              </w:rPr>
              <w:t>17388,0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+21,3%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17088,0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23023,0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+34,7%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+78,3%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3171,7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3330,3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3005,0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17685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-2,9%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  <w:r w:rsidR="00EE1534">
              <w:rPr>
                <w:sz w:val="24"/>
                <w:szCs w:val="24"/>
              </w:rPr>
              <w:t>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 xml:space="preserve">Единый налог на </w:t>
            </w:r>
            <w:r w:rsidRPr="005F3CD6">
              <w:rPr>
                <w:sz w:val="24"/>
                <w:szCs w:val="24"/>
              </w:rPr>
              <w:lastRenderedPageBreak/>
              <w:t xml:space="preserve">вмененный доход для отдельных видов деятельности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2921,0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17685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-2,6%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lastRenderedPageBreak/>
              <w:t xml:space="preserve">Единый сельскохозяйственный </w:t>
            </w:r>
          </w:p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 xml:space="preserve">налог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17685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-8,0%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+9,3%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+10,8%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17685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F3833">
              <w:rPr>
                <w:sz w:val="24"/>
                <w:szCs w:val="24"/>
              </w:rPr>
              <w:t>93,8%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+20,1%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b/>
                <w:sz w:val="24"/>
                <w:szCs w:val="24"/>
              </w:rPr>
            </w:pPr>
            <w:r w:rsidRPr="005F3CD6">
              <w:rPr>
                <w:b/>
                <w:sz w:val="24"/>
                <w:szCs w:val="24"/>
              </w:rPr>
              <w:t>Неналоговые доходы всего, в том числе: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3331,0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5065,0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CF3833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+52,1%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4676,0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-7,7%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4895,0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+4,7%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CF3833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+52,9%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+4,4%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C06E64" w:rsidP="00C06E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B22A5">
              <w:rPr>
                <w:sz w:val="24"/>
                <w:szCs w:val="24"/>
              </w:rPr>
              <w:t>23,0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C06E6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</w:t>
            </w:r>
            <w:r w:rsidR="00B2288F">
              <w:rPr>
                <w:sz w:val="24"/>
                <w:szCs w:val="24"/>
              </w:rPr>
              <w:t>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Платежи при использовании природных ресурсов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-25,8%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+4,4%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+4,2%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+600,%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-85,0%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+4,8%</w:t>
            </w:r>
          </w:p>
        </w:tc>
      </w:tr>
      <w:tr w:rsidR="005F3CD6" w:rsidRPr="005F3CD6" w:rsidTr="004A74DC">
        <w:trPr>
          <w:jc w:val="center"/>
        </w:trPr>
        <w:tc>
          <w:tcPr>
            <w:tcW w:w="2484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F3CD6" w:rsidRPr="005F3CD6" w:rsidRDefault="004A74DC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-18,3%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EE1534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-2,9%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8B22A5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F3CD6" w:rsidRPr="005F3CD6" w:rsidRDefault="00B2288F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+2,5%</w:t>
            </w:r>
          </w:p>
        </w:tc>
      </w:tr>
    </w:tbl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В 2014 году объем на</w:t>
      </w:r>
      <w:r w:rsidR="004A25F7">
        <w:rPr>
          <w:sz w:val="24"/>
          <w:szCs w:val="24"/>
        </w:rPr>
        <w:t>логовых доходов составит 23946,7</w:t>
      </w:r>
      <w:r w:rsidRPr="005F3CD6">
        <w:rPr>
          <w:sz w:val="24"/>
          <w:szCs w:val="24"/>
        </w:rPr>
        <w:t xml:space="preserve"> тыс. руб. </w:t>
      </w:r>
      <w:r w:rsidR="004A25F7">
        <w:rPr>
          <w:sz w:val="24"/>
          <w:szCs w:val="24"/>
        </w:rPr>
        <w:t xml:space="preserve">(70,6%), что на 23,5% больше </w:t>
      </w:r>
      <w:r w:rsidRPr="005F3CD6">
        <w:rPr>
          <w:sz w:val="24"/>
          <w:szCs w:val="24"/>
        </w:rPr>
        <w:t xml:space="preserve"> утвержденных последней редакцией решения о бюджет</w:t>
      </w:r>
      <w:r w:rsidR="004A25F7">
        <w:rPr>
          <w:sz w:val="24"/>
          <w:szCs w:val="24"/>
        </w:rPr>
        <w:t xml:space="preserve">е № 652 от 27.12.2013г. «О районном бюджете на 2015 год и плановый период 2016-2017гг» на 2014 </w:t>
      </w:r>
      <w:r w:rsidR="00785FF4">
        <w:rPr>
          <w:sz w:val="24"/>
          <w:szCs w:val="24"/>
        </w:rPr>
        <w:t>год</w:t>
      </w:r>
      <w:r w:rsidR="004A25F7">
        <w:rPr>
          <w:sz w:val="24"/>
          <w:szCs w:val="24"/>
        </w:rPr>
        <w:t>.</w:t>
      </w:r>
    </w:p>
    <w:p w:rsidR="005F3CD6" w:rsidRPr="005F3CD6" w:rsidRDefault="004A25F7" w:rsidP="00F7160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увеличение в 2015</w:t>
      </w:r>
      <w:r w:rsidR="005F3CD6" w:rsidRPr="005F3CD6">
        <w:rPr>
          <w:sz w:val="24"/>
          <w:szCs w:val="24"/>
        </w:rPr>
        <w:t xml:space="preserve"> в структуре налоговых дох</w:t>
      </w:r>
      <w:r>
        <w:rPr>
          <w:sz w:val="24"/>
          <w:szCs w:val="24"/>
        </w:rPr>
        <w:t>одов по сравнению с оценкой 2014</w:t>
      </w:r>
      <w:r w:rsidR="005F3CD6" w:rsidRPr="005F3CD6">
        <w:rPr>
          <w:sz w:val="24"/>
          <w:szCs w:val="24"/>
        </w:rPr>
        <w:t xml:space="preserve"> года планируется по следующим видам налогов:</w:t>
      </w:r>
    </w:p>
    <w:p w:rsidR="005F3CD6" w:rsidRPr="005F3CD6" w:rsidRDefault="004A25F7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доходы от государственной пошлины – на </w:t>
      </w:r>
      <w:r w:rsidR="005F3CD6" w:rsidRPr="005F3CD6">
        <w:rPr>
          <w:sz w:val="24"/>
          <w:szCs w:val="24"/>
        </w:rPr>
        <w:t xml:space="preserve"> (9</w:t>
      </w:r>
      <w:r>
        <w:rPr>
          <w:sz w:val="24"/>
          <w:szCs w:val="24"/>
        </w:rPr>
        <w:t>3,8</w:t>
      </w:r>
      <w:r w:rsidR="005F3CD6" w:rsidRPr="005F3CD6">
        <w:rPr>
          <w:sz w:val="24"/>
          <w:szCs w:val="24"/>
        </w:rPr>
        <w:t>%)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налоги на товары (</w:t>
      </w:r>
      <w:r w:rsidRPr="005F3CD6">
        <w:rPr>
          <w:i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Pr="005F3CD6">
        <w:rPr>
          <w:sz w:val="24"/>
          <w:szCs w:val="24"/>
        </w:rPr>
        <w:t xml:space="preserve">)  </w:t>
      </w:r>
      <w:r w:rsidR="004A25F7">
        <w:rPr>
          <w:sz w:val="24"/>
          <w:szCs w:val="24"/>
        </w:rPr>
        <w:t>-  на (78,3</w:t>
      </w:r>
      <w:r w:rsidRPr="005F3CD6">
        <w:rPr>
          <w:sz w:val="24"/>
          <w:szCs w:val="24"/>
        </w:rPr>
        <w:t>%)</w:t>
      </w:r>
    </w:p>
    <w:p w:rsidR="00BF08F2" w:rsidRPr="005F3CD6" w:rsidRDefault="005F3CD6" w:rsidP="00BF08F2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Наиболее значимым для районного бюджета в</w:t>
      </w:r>
      <w:r w:rsidR="00AE6ED6">
        <w:rPr>
          <w:sz w:val="24"/>
          <w:szCs w:val="24"/>
        </w:rPr>
        <w:t xml:space="preserve"> 2015</w:t>
      </w:r>
      <w:r w:rsidRPr="005F3CD6">
        <w:rPr>
          <w:sz w:val="24"/>
          <w:szCs w:val="24"/>
        </w:rPr>
        <w:t xml:space="preserve"> году остается </w:t>
      </w:r>
      <w:r w:rsidRPr="005F3CD6">
        <w:rPr>
          <w:b/>
          <w:sz w:val="24"/>
          <w:szCs w:val="24"/>
          <w:u w:val="single"/>
        </w:rPr>
        <w:t xml:space="preserve">налог на доходы физических лиц </w:t>
      </w:r>
      <w:r w:rsidR="00AE6ED6">
        <w:rPr>
          <w:sz w:val="24"/>
          <w:szCs w:val="24"/>
          <w:u w:val="single"/>
        </w:rPr>
        <w:t>– 17388,0</w:t>
      </w:r>
      <w:r w:rsidRPr="005F3CD6">
        <w:rPr>
          <w:sz w:val="24"/>
          <w:szCs w:val="24"/>
          <w:u w:val="single"/>
        </w:rPr>
        <w:t>тыс.руб.</w:t>
      </w:r>
      <w:r w:rsidR="00F71600">
        <w:rPr>
          <w:sz w:val="24"/>
          <w:szCs w:val="24"/>
        </w:rPr>
        <w:t xml:space="preserve"> или 59,9 </w:t>
      </w:r>
      <w:r w:rsidRPr="005F3CD6">
        <w:rPr>
          <w:sz w:val="24"/>
          <w:szCs w:val="24"/>
        </w:rPr>
        <w:t>% от  собственных доходов бюджета. Р</w:t>
      </w:r>
      <w:r w:rsidR="00AE6ED6">
        <w:rPr>
          <w:sz w:val="24"/>
          <w:szCs w:val="24"/>
        </w:rPr>
        <w:t xml:space="preserve">асчет произведен по нормативу </w:t>
      </w:r>
      <w:r w:rsidR="00A37170">
        <w:rPr>
          <w:sz w:val="24"/>
          <w:szCs w:val="24"/>
        </w:rPr>
        <w:t>43</w:t>
      </w:r>
      <w:r w:rsidRPr="005F3CD6">
        <w:rPr>
          <w:sz w:val="24"/>
          <w:szCs w:val="24"/>
        </w:rPr>
        <w:t xml:space="preserve">% в соответствии с нормативами ( ст. 61.1 Бюджетного кодекса РФ) при этом </w:t>
      </w:r>
      <w:r w:rsidRPr="005F3CD6">
        <w:rPr>
          <w:b/>
          <w:sz w:val="24"/>
          <w:szCs w:val="24"/>
        </w:rPr>
        <w:t>дополнительный норматив НДФЛ</w:t>
      </w:r>
      <w:r w:rsidRPr="005F3CD6">
        <w:rPr>
          <w:sz w:val="24"/>
          <w:szCs w:val="24"/>
        </w:rPr>
        <w:t xml:space="preserve"> взамен дотации на выравнивание </w:t>
      </w:r>
      <w:r w:rsidR="00F85355">
        <w:rPr>
          <w:sz w:val="24"/>
          <w:szCs w:val="24"/>
        </w:rPr>
        <w:t>бюджетной обеспеченности на 2015</w:t>
      </w:r>
      <w:r w:rsidRPr="005F3CD6">
        <w:rPr>
          <w:sz w:val="24"/>
          <w:szCs w:val="24"/>
        </w:rPr>
        <w:t xml:space="preserve"> год  принят </w:t>
      </w:r>
      <w:r w:rsidR="00E3660C">
        <w:rPr>
          <w:b/>
          <w:sz w:val="24"/>
          <w:szCs w:val="24"/>
        </w:rPr>
        <w:t>в размере 28</w:t>
      </w:r>
      <w:r w:rsidRPr="005F3CD6">
        <w:rPr>
          <w:b/>
          <w:sz w:val="24"/>
          <w:szCs w:val="24"/>
        </w:rPr>
        <w:t>%.(</w:t>
      </w:r>
      <w:r w:rsidRPr="005F3CD6">
        <w:rPr>
          <w:sz w:val="24"/>
          <w:szCs w:val="24"/>
        </w:rPr>
        <w:t xml:space="preserve">Единый норматив НДФЛ по Закону Орловской области «О межбюджетн6ых отношениях </w:t>
      </w:r>
      <w:r w:rsidR="00F85355">
        <w:rPr>
          <w:sz w:val="24"/>
          <w:szCs w:val="24"/>
        </w:rPr>
        <w:t>в орловской области» 1547-ОЗ – 10</w:t>
      </w:r>
      <w:r w:rsidRPr="005F3CD6">
        <w:rPr>
          <w:sz w:val="24"/>
          <w:szCs w:val="24"/>
        </w:rPr>
        <w:t>%.</w:t>
      </w:r>
      <w:r w:rsidR="00BF08F2">
        <w:rPr>
          <w:sz w:val="24"/>
          <w:szCs w:val="24"/>
        </w:rPr>
        <w:t>На 2016 и 2017</w:t>
      </w:r>
      <w:r w:rsidR="00BF08F2" w:rsidRPr="005F3CD6">
        <w:rPr>
          <w:sz w:val="24"/>
          <w:szCs w:val="24"/>
        </w:rPr>
        <w:t xml:space="preserve"> годы  п</w:t>
      </w:r>
      <w:r w:rsidR="00BF08F2">
        <w:rPr>
          <w:sz w:val="24"/>
          <w:szCs w:val="24"/>
        </w:rPr>
        <w:t xml:space="preserve">рогнозируются  суммы – 17088,0  тыс.руб.  и  23023,0 </w:t>
      </w:r>
      <w:r w:rsidR="00BF08F2" w:rsidRPr="005F3CD6">
        <w:rPr>
          <w:sz w:val="24"/>
          <w:szCs w:val="24"/>
        </w:rPr>
        <w:t>тыс.руб.  соответственно</w:t>
      </w:r>
      <w:r w:rsidR="00785FF4">
        <w:rPr>
          <w:sz w:val="24"/>
          <w:szCs w:val="24"/>
        </w:rPr>
        <w:t>.</w:t>
      </w:r>
    </w:p>
    <w:p w:rsidR="005F3CD6" w:rsidRPr="005F3CD6" w:rsidRDefault="005F3CD6" w:rsidP="00F71600">
      <w:pPr>
        <w:widowControl w:val="0"/>
        <w:ind w:firstLine="708"/>
        <w:jc w:val="both"/>
        <w:rPr>
          <w:sz w:val="24"/>
          <w:szCs w:val="24"/>
        </w:rPr>
      </w:pPr>
    </w:p>
    <w:p w:rsidR="005F3CD6" w:rsidRPr="005F3CD6" w:rsidRDefault="005F3CD6" w:rsidP="00785FF4">
      <w:pPr>
        <w:ind w:firstLine="708"/>
        <w:jc w:val="both"/>
        <w:rPr>
          <w:sz w:val="24"/>
          <w:szCs w:val="24"/>
        </w:rPr>
      </w:pPr>
      <w:r w:rsidRPr="005F3CD6">
        <w:rPr>
          <w:b/>
          <w:sz w:val="24"/>
          <w:szCs w:val="24"/>
          <w:u w:val="single"/>
        </w:rPr>
        <w:t>Налоги на совокупный доход</w:t>
      </w:r>
      <w:r w:rsidRPr="005F3CD6">
        <w:rPr>
          <w:sz w:val="24"/>
          <w:szCs w:val="24"/>
        </w:rPr>
        <w:t xml:space="preserve"> основаны  из расчетов по таким налогам как:  </w:t>
      </w:r>
    </w:p>
    <w:p w:rsidR="005F3CD6" w:rsidRPr="005F3CD6" w:rsidRDefault="005F3CD6" w:rsidP="005F3CD6">
      <w:pPr>
        <w:widowControl w:val="0"/>
        <w:jc w:val="both"/>
        <w:rPr>
          <w:sz w:val="24"/>
          <w:szCs w:val="24"/>
        </w:rPr>
      </w:pPr>
      <w:r w:rsidRPr="005F3CD6">
        <w:rPr>
          <w:b/>
          <w:sz w:val="24"/>
          <w:szCs w:val="24"/>
          <w:u w:val="single"/>
        </w:rPr>
        <w:t>-единый  налог на вмененный доход</w:t>
      </w:r>
      <w:r w:rsidRPr="005F3CD6">
        <w:rPr>
          <w:sz w:val="24"/>
          <w:szCs w:val="24"/>
        </w:rPr>
        <w:t xml:space="preserve"> для отдельных видов деятельности произведен  на основе оценки поступлений да</w:t>
      </w:r>
      <w:r w:rsidR="00F85355">
        <w:rPr>
          <w:sz w:val="24"/>
          <w:szCs w:val="24"/>
        </w:rPr>
        <w:t>нного доходного источника в 2014</w:t>
      </w:r>
      <w:r w:rsidRPr="005F3CD6">
        <w:rPr>
          <w:sz w:val="24"/>
          <w:szCs w:val="24"/>
        </w:rPr>
        <w:t xml:space="preserve"> году и  прогноза социально-экономического разви</w:t>
      </w:r>
      <w:r w:rsidR="00F85355">
        <w:rPr>
          <w:sz w:val="24"/>
          <w:szCs w:val="24"/>
        </w:rPr>
        <w:t>тия Новосильского района на 2015</w:t>
      </w:r>
      <w:r w:rsidRPr="005F3CD6">
        <w:rPr>
          <w:sz w:val="24"/>
          <w:szCs w:val="24"/>
        </w:rPr>
        <w:t xml:space="preserve"> год. Исходя из норматива отчисления налога в размере 100% (ст. 61.1 БК РФ) </w:t>
      </w:r>
      <w:r w:rsidR="00F85355">
        <w:rPr>
          <w:sz w:val="24"/>
          <w:szCs w:val="24"/>
        </w:rPr>
        <w:t>доходы районного бюджета на 2015 год  планируются в сумме 2844,0 тыс. руб. На 2016 и 2017</w:t>
      </w:r>
      <w:r w:rsidRPr="005F3CD6">
        <w:rPr>
          <w:sz w:val="24"/>
          <w:szCs w:val="24"/>
        </w:rPr>
        <w:t xml:space="preserve"> годы</w:t>
      </w:r>
      <w:r w:rsidR="00F85355">
        <w:rPr>
          <w:sz w:val="24"/>
          <w:szCs w:val="24"/>
        </w:rPr>
        <w:t xml:space="preserve">  прогнозируются  </w:t>
      </w:r>
      <w:r w:rsidR="00F85355">
        <w:rPr>
          <w:sz w:val="24"/>
          <w:szCs w:val="24"/>
        </w:rPr>
        <w:lastRenderedPageBreak/>
        <w:t>суммы – 3128,0 тыс.руб.  и 3441,0</w:t>
      </w:r>
      <w:r w:rsidRPr="005F3CD6">
        <w:rPr>
          <w:sz w:val="24"/>
          <w:szCs w:val="24"/>
        </w:rPr>
        <w:t>тыс.руб.  соответственно.</w:t>
      </w:r>
    </w:p>
    <w:p w:rsidR="005F3CD6" w:rsidRPr="005F3CD6" w:rsidRDefault="005F3CD6" w:rsidP="00785FF4">
      <w:pPr>
        <w:ind w:firstLine="708"/>
        <w:jc w:val="both"/>
        <w:rPr>
          <w:sz w:val="24"/>
          <w:szCs w:val="24"/>
        </w:rPr>
      </w:pPr>
      <w:r w:rsidRPr="005F3CD6">
        <w:rPr>
          <w:b/>
          <w:sz w:val="24"/>
          <w:szCs w:val="24"/>
        </w:rPr>
        <w:t>- </w:t>
      </w:r>
      <w:r w:rsidRPr="005F3CD6">
        <w:rPr>
          <w:b/>
          <w:sz w:val="24"/>
          <w:szCs w:val="24"/>
          <w:u w:val="single"/>
        </w:rPr>
        <w:t>единый   сельскохозяйственный   налог</w:t>
      </w:r>
      <w:r w:rsidRPr="005F3CD6">
        <w:rPr>
          <w:sz w:val="24"/>
          <w:szCs w:val="24"/>
        </w:rPr>
        <w:t>  подлежит зачислению в доход районного бюджета по нормативу 50% в соответствии со ст. 61.1 БК РФ. Объемы поступлений по данному</w:t>
      </w:r>
      <w:r w:rsidR="008E13CE">
        <w:rPr>
          <w:sz w:val="24"/>
          <w:szCs w:val="24"/>
        </w:rPr>
        <w:t xml:space="preserve"> налогу рассчитаны в сумме 161,0</w:t>
      </w:r>
      <w:r w:rsidRPr="005F3CD6">
        <w:rPr>
          <w:sz w:val="24"/>
          <w:szCs w:val="24"/>
        </w:rPr>
        <w:t xml:space="preserve"> тыс. руб.</w:t>
      </w:r>
      <w:r w:rsidR="008E13CE">
        <w:rPr>
          <w:sz w:val="24"/>
          <w:szCs w:val="24"/>
        </w:rPr>
        <w:t>,что меньше  на  8,0 %</w:t>
      </w:r>
      <w:r w:rsidRPr="005F3CD6">
        <w:rPr>
          <w:sz w:val="24"/>
          <w:szCs w:val="24"/>
        </w:rPr>
        <w:t xml:space="preserve">  ожидаемых поступлений текущего года.</w:t>
      </w:r>
    </w:p>
    <w:p w:rsidR="005F3CD6" w:rsidRPr="005F3CD6" w:rsidRDefault="008E13CE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>Доходы районного бюджета в 2015</w:t>
      </w:r>
      <w:r w:rsidR="005F3CD6" w:rsidRPr="005F3CD6">
        <w:rPr>
          <w:sz w:val="24"/>
          <w:szCs w:val="24"/>
        </w:rPr>
        <w:t xml:space="preserve"> году </w:t>
      </w:r>
      <w:r w:rsidR="005F3CD6" w:rsidRPr="005F3CD6">
        <w:rPr>
          <w:b/>
          <w:sz w:val="24"/>
          <w:szCs w:val="24"/>
          <w:u w:val="single"/>
        </w:rPr>
        <w:t>от государственной пошлины</w:t>
      </w:r>
      <w:r>
        <w:rPr>
          <w:sz w:val="24"/>
          <w:szCs w:val="24"/>
        </w:rPr>
        <w:t xml:space="preserve"> определены в сумме 533,0 тыс. руб., с ростом на  93,8 % к утвержденным  </w:t>
      </w:r>
      <w:r w:rsidR="005F3CD6" w:rsidRPr="005F3CD6">
        <w:rPr>
          <w:sz w:val="24"/>
          <w:szCs w:val="24"/>
        </w:rPr>
        <w:t>суммам  пос</w:t>
      </w:r>
      <w:r w:rsidR="00A87182">
        <w:rPr>
          <w:sz w:val="24"/>
          <w:szCs w:val="24"/>
        </w:rPr>
        <w:t>туплений  текущего года. На 2016 и 2017</w:t>
      </w:r>
      <w:r w:rsidR="005F3CD6" w:rsidRPr="005F3CD6">
        <w:rPr>
          <w:sz w:val="24"/>
          <w:szCs w:val="24"/>
        </w:rPr>
        <w:t xml:space="preserve"> годы  п</w:t>
      </w:r>
      <w:r w:rsidR="00A87182">
        <w:rPr>
          <w:sz w:val="24"/>
          <w:szCs w:val="24"/>
        </w:rPr>
        <w:t xml:space="preserve">рогнозируются  суммы – 640,0 тыс.руб.  и  768,0 </w:t>
      </w:r>
      <w:r w:rsidR="005F3CD6" w:rsidRPr="005F3CD6">
        <w:rPr>
          <w:sz w:val="24"/>
          <w:szCs w:val="24"/>
        </w:rPr>
        <w:t>тыс.руб.  соответственно</w:t>
      </w:r>
      <w:r w:rsidR="00584A9F">
        <w:rPr>
          <w:sz w:val="24"/>
          <w:szCs w:val="24"/>
        </w:rPr>
        <w:t>.</w:t>
      </w:r>
    </w:p>
    <w:p w:rsidR="005F3CD6" w:rsidRPr="005F3CD6" w:rsidRDefault="005F3CD6" w:rsidP="005F3CD6">
      <w:pPr>
        <w:widowControl w:val="0"/>
        <w:ind w:firstLine="708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</w:t>
      </w:r>
      <w:r w:rsidRPr="005F3CD6">
        <w:rPr>
          <w:b/>
          <w:sz w:val="24"/>
          <w:szCs w:val="24"/>
        </w:rPr>
        <w:t xml:space="preserve">по налогам на товары </w:t>
      </w:r>
      <w:r w:rsidRPr="005F3CD6">
        <w:rPr>
          <w:b/>
          <w:i/>
          <w:sz w:val="24"/>
          <w:szCs w:val="24"/>
        </w:rPr>
        <w:t>(акцизы по подакцизным товарам (продукции), производимым на территории Российской Федерации)</w:t>
      </w:r>
      <w:r w:rsidRPr="005F3CD6">
        <w:rPr>
          <w:sz w:val="24"/>
          <w:szCs w:val="24"/>
        </w:rPr>
        <w:t xml:space="preserve"> – поступление акцизов по подакцизным товарам (продукции), производимым на территории РФ обусловлено следующим, что в соответствии с Федеральным законом от 03.12.2012 № 244-ФЗ "О внесении изменений в Бюджетный кодекс Российской Федерации и отдельные законодательные акты Российской Федерации" с 1 января 2014 года установлена обязанность органов государственной власти субъектов Российской Федерации по передаче по дифференцированным нормативам отчислений в местные бюджеты акцизов на нефтепродукты,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налога. </w:t>
      </w:r>
    </w:p>
    <w:p w:rsidR="005F3CD6" w:rsidRPr="00785FF4" w:rsidRDefault="005F3CD6" w:rsidP="00785FF4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Проектом Закона Орловской области</w:t>
      </w:r>
      <w:r w:rsidR="00BF08F2">
        <w:rPr>
          <w:sz w:val="24"/>
          <w:szCs w:val="24"/>
        </w:rPr>
        <w:t xml:space="preserve">  "Об областном  бюджете на 2015 год и плановый период 2016 – 2017</w:t>
      </w:r>
      <w:r w:rsidRPr="005F3CD6">
        <w:rPr>
          <w:sz w:val="24"/>
          <w:szCs w:val="24"/>
        </w:rPr>
        <w:t xml:space="preserve"> годов"  нормативы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бюджеты муниципальных районов (городских округов), городских и сельских пос</w:t>
      </w:r>
      <w:r w:rsidR="00BF08F2">
        <w:rPr>
          <w:sz w:val="24"/>
          <w:szCs w:val="24"/>
        </w:rPr>
        <w:t>елений Орловской области на 2015 год и на плановый период 2016</w:t>
      </w:r>
      <w:r w:rsidRPr="005F3CD6">
        <w:rPr>
          <w:sz w:val="24"/>
          <w:szCs w:val="24"/>
        </w:rPr>
        <w:t xml:space="preserve"> и 20</w:t>
      </w:r>
      <w:r w:rsidR="00BF08F2">
        <w:rPr>
          <w:sz w:val="24"/>
          <w:szCs w:val="24"/>
        </w:rPr>
        <w:t>17</w:t>
      </w:r>
      <w:r w:rsidRPr="005F3CD6">
        <w:rPr>
          <w:sz w:val="24"/>
          <w:szCs w:val="24"/>
        </w:rPr>
        <w:t xml:space="preserve"> годов исходя из зачисления в местные бюджеты 10 процентов налоговых доходов  в районный бюджет  указанного налог запланировано   на 2</w:t>
      </w:r>
      <w:r w:rsidR="00BF08F2">
        <w:rPr>
          <w:sz w:val="24"/>
          <w:szCs w:val="24"/>
        </w:rPr>
        <w:t xml:space="preserve">015 год </w:t>
      </w:r>
      <w:r w:rsidR="00A87182">
        <w:rPr>
          <w:sz w:val="24"/>
          <w:szCs w:val="24"/>
        </w:rPr>
        <w:t>в размере 3020,</w:t>
      </w:r>
      <w:r w:rsidR="00BF08F2">
        <w:rPr>
          <w:sz w:val="24"/>
          <w:szCs w:val="24"/>
        </w:rPr>
        <w:t>7 тыс.руб</w:t>
      </w:r>
      <w:r w:rsidRPr="005F3CD6">
        <w:rPr>
          <w:sz w:val="24"/>
          <w:szCs w:val="24"/>
        </w:rPr>
        <w:t>.</w:t>
      </w:r>
      <w:r w:rsidR="00BF08F2">
        <w:rPr>
          <w:sz w:val="24"/>
          <w:szCs w:val="24"/>
        </w:rPr>
        <w:t>, с ростом к  бюджету 2014 года на 78,3%.На 2016 и 2017</w:t>
      </w:r>
      <w:r w:rsidR="00BF08F2" w:rsidRPr="005F3CD6">
        <w:rPr>
          <w:sz w:val="24"/>
          <w:szCs w:val="24"/>
        </w:rPr>
        <w:t xml:space="preserve"> годы  п</w:t>
      </w:r>
      <w:r w:rsidR="00BF08F2">
        <w:rPr>
          <w:sz w:val="24"/>
          <w:szCs w:val="24"/>
        </w:rPr>
        <w:t xml:space="preserve">рогнозируются  суммы – 3171,7 тыс.руб.  и  3330,3 </w:t>
      </w:r>
      <w:r w:rsidR="00BF08F2" w:rsidRPr="005F3CD6">
        <w:rPr>
          <w:sz w:val="24"/>
          <w:szCs w:val="24"/>
        </w:rPr>
        <w:t>тыс.руб.  соответственно</w:t>
      </w:r>
      <w:r w:rsidR="00785FF4">
        <w:rPr>
          <w:sz w:val="24"/>
          <w:szCs w:val="24"/>
        </w:rPr>
        <w:t>.</w:t>
      </w:r>
    </w:p>
    <w:p w:rsidR="00C06E64" w:rsidRPr="00584A9F" w:rsidRDefault="005F3CD6" w:rsidP="00584A9F">
      <w:pPr>
        <w:ind w:firstLine="708"/>
        <w:jc w:val="both"/>
        <w:rPr>
          <w:sz w:val="24"/>
          <w:szCs w:val="24"/>
          <w:u w:val="single"/>
        </w:rPr>
      </w:pPr>
      <w:r w:rsidRPr="00584A9F">
        <w:rPr>
          <w:sz w:val="24"/>
          <w:szCs w:val="24"/>
          <w:u w:val="single"/>
        </w:rPr>
        <w:t>Неналоговые доходы в Проекте бюджета му</w:t>
      </w:r>
      <w:r w:rsidR="00BF08F2" w:rsidRPr="00584A9F">
        <w:rPr>
          <w:sz w:val="24"/>
          <w:szCs w:val="24"/>
          <w:u w:val="single"/>
        </w:rPr>
        <w:t>ниципального образования на 2015</w:t>
      </w:r>
      <w:r w:rsidRPr="00584A9F">
        <w:rPr>
          <w:sz w:val="24"/>
          <w:szCs w:val="24"/>
          <w:u w:val="single"/>
        </w:rPr>
        <w:t xml:space="preserve"> год запланированы на 3331,0 тыс. руб. выше послед</w:t>
      </w:r>
      <w:r w:rsidR="00C06E64" w:rsidRPr="00584A9F">
        <w:rPr>
          <w:sz w:val="24"/>
          <w:szCs w:val="24"/>
          <w:u w:val="single"/>
        </w:rPr>
        <w:t>них  бюджетных назначений  2014</w:t>
      </w:r>
      <w:r w:rsidRPr="00584A9F">
        <w:rPr>
          <w:sz w:val="24"/>
          <w:szCs w:val="24"/>
          <w:u w:val="single"/>
        </w:rPr>
        <w:t>г</w:t>
      </w:r>
      <w:r w:rsidR="00C06E64" w:rsidRPr="00584A9F">
        <w:rPr>
          <w:sz w:val="24"/>
          <w:szCs w:val="24"/>
          <w:u w:val="single"/>
        </w:rPr>
        <w:t>ода на 52,1%. На 2016 и 2017 годы  прогнозируются  суммы – 4676,0 тыс.руб.  и  4895,0 тыс.руб.  соответственно.</w:t>
      </w:r>
    </w:p>
    <w:p w:rsidR="005F3CD6" w:rsidRPr="005F3CD6" w:rsidRDefault="005F3CD6" w:rsidP="00C06E64">
      <w:pPr>
        <w:widowControl w:val="0"/>
        <w:ind w:firstLine="708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Наибольший удельный вес в структуре неналог</w:t>
      </w:r>
      <w:r w:rsidR="00C06E64">
        <w:rPr>
          <w:sz w:val="24"/>
          <w:szCs w:val="24"/>
        </w:rPr>
        <w:t>овых доходов Проекта бюджета 2015</w:t>
      </w:r>
      <w:r w:rsidRPr="005F3CD6">
        <w:rPr>
          <w:sz w:val="24"/>
          <w:szCs w:val="24"/>
        </w:rPr>
        <w:t xml:space="preserve"> год</w:t>
      </w:r>
      <w:r w:rsidR="00C06E64">
        <w:rPr>
          <w:sz w:val="24"/>
          <w:szCs w:val="24"/>
        </w:rPr>
        <w:t>а</w:t>
      </w:r>
      <w:r w:rsidRPr="005F3CD6">
        <w:rPr>
          <w:sz w:val="24"/>
          <w:szCs w:val="24"/>
        </w:rPr>
        <w:t xml:space="preserve"> принадлежит доходам от использования имущества, находящегося в государственной и муни</w:t>
      </w:r>
      <w:r w:rsidR="00C06E64">
        <w:rPr>
          <w:sz w:val="24"/>
          <w:szCs w:val="24"/>
        </w:rPr>
        <w:t xml:space="preserve">ципальной собственности – 3759,0 тыс. руб. (74,2%) , на 2016 год 3926,0 тыс. руб. (83,9 %), на 2017 год в сумме </w:t>
      </w:r>
      <w:r w:rsidR="00584A9F">
        <w:rPr>
          <w:sz w:val="24"/>
          <w:szCs w:val="24"/>
        </w:rPr>
        <w:t>41</w:t>
      </w:r>
      <w:r w:rsidR="00C06E64">
        <w:rPr>
          <w:sz w:val="24"/>
          <w:szCs w:val="24"/>
        </w:rPr>
        <w:t xml:space="preserve">23,0 </w:t>
      </w:r>
      <w:r w:rsidR="00584A9F">
        <w:rPr>
          <w:sz w:val="24"/>
          <w:szCs w:val="24"/>
        </w:rPr>
        <w:t>тыс. руб. или 84,2</w:t>
      </w:r>
      <w:r w:rsidRPr="005F3CD6">
        <w:rPr>
          <w:sz w:val="24"/>
          <w:szCs w:val="24"/>
        </w:rPr>
        <w:t xml:space="preserve"> % удельного веса.</w:t>
      </w:r>
    </w:p>
    <w:p w:rsidR="003376D8" w:rsidRPr="00B928E9" w:rsidRDefault="005F3CD6" w:rsidP="003376D8">
      <w:pPr>
        <w:spacing w:line="276" w:lineRule="auto"/>
        <w:ind w:firstLine="425"/>
        <w:jc w:val="both"/>
        <w:rPr>
          <w:rFonts w:eastAsia="Calibri"/>
          <w:sz w:val="24"/>
          <w:szCs w:val="24"/>
          <w:lang w:eastAsia="en-US"/>
        </w:rPr>
      </w:pPr>
      <w:r w:rsidRPr="005F3CD6">
        <w:rPr>
          <w:b/>
          <w:sz w:val="24"/>
          <w:szCs w:val="24"/>
        </w:rPr>
        <w:t xml:space="preserve">Платежи при </w:t>
      </w:r>
      <w:r w:rsidR="00372147">
        <w:rPr>
          <w:b/>
          <w:sz w:val="24"/>
          <w:szCs w:val="24"/>
        </w:rPr>
        <w:t>использовании природных ресурсов</w:t>
      </w:r>
      <w:r w:rsidRPr="005F3CD6">
        <w:rPr>
          <w:b/>
          <w:sz w:val="24"/>
          <w:szCs w:val="24"/>
        </w:rPr>
        <w:t>.</w:t>
      </w:r>
      <w:r w:rsidR="003376D8" w:rsidRPr="00B928E9">
        <w:rPr>
          <w:rFonts w:eastAsia="Calibri"/>
          <w:bCs/>
          <w:sz w:val="24"/>
          <w:szCs w:val="24"/>
          <w:lang w:eastAsia="en-US"/>
        </w:rPr>
        <w:t>Доходы от платы за негативное воздействие на окружающую ср</w:t>
      </w:r>
      <w:r w:rsidR="00B928E9">
        <w:rPr>
          <w:rFonts w:eastAsia="Calibri"/>
          <w:bCs/>
          <w:sz w:val="24"/>
          <w:szCs w:val="24"/>
          <w:lang w:eastAsia="en-US"/>
        </w:rPr>
        <w:t>еду на 2015 год составляют 46,0</w:t>
      </w:r>
      <w:r w:rsidR="003376D8" w:rsidRPr="00B928E9">
        <w:rPr>
          <w:rFonts w:eastAsia="Calibri"/>
          <w:bCs/>
          <w:sz w:val="24"/>
          <w:szCs w:val="24"/>
          <w:lang w:eastAsia="en-US"/>
        </w:rPr>
        <w:t xml:space="preserve"> тыс. рублей. Расчет платы за негативное воздействие на окружающую среду  на 2015 год произведен исходя из поступлений за отчетный финансовый год, с применением среднего коэффициента индексации ставок платы на очередной финансовый год к уровню отчетного финансового года и поправочного коэффициента, учитывающего установленные нормативы в сфере охраны окружающей среды, рассчитанного департаментом экологии и природоп</w:t>
      </w:r>
      <w:r w:rsidR="005E1C0B">
        <w:rPr>
          <w:rFonts w:eastAsia="Calibri"/>
          <w:bCs/>
          <w:sz w:val="24"/>
          <w:szCs w:val="24"/>
          <w:lang w:eastAsia="en-US"/>
        </w:rPr>
        <w:t>ользования</w:t>
      </w:r>
      <w:r w:rsidR="00372147">
        <w:rPr>
          <w:rFonts w:eastAsia="Calibri"/>
          <w:bCs/>
          <w:sz w:val="24"/>
          <w:szCs w:val="24"/>
          <w:lang w:eastAsia="en-US"/>
        </w:rPr>
        <w:t xml:space="preserve"> Орловской </w:t>
      </w:r>
      <w:r w:rsidR="003376D8" w:rsidRPr="00B928E9">
        <w:rPr>
          <w:rFonts w:eastAsia="Calibri"/>
          <w:bCs/>
          <w:sz w:val="24"/>
          <w:szCs w:val="24"/>
          <w:lang w:eastAsia="en-US"/>
        </w:rPr>
        <w:t xml:space="preserve"> области</w:t>
      </w:r>
      <w:r w:rsidR="00372147">
        <w:rPr>
          <w:rFonts w:eastAsia="Calibri"/>
          <w:bCs/>
          <w:sz w:val="24"/>
          <w:szCs w:val="24"/>
          <w:lang w:eastAsia="en-US"/>
        </w:rPr>
        <w:t>.</w:t>
      </w:r>
    </w:p>
    <w:p w:rsidR="005F3CD6" w:rsidRPr="005F3CD6" w:rsidRDefault="005F3CD6" w:rsidP="00372147">
      <w:pPr>
        <w:widowControl w:val="0"/>
        <w:ind w:firstLine="425"/>
        <w:jc w:val="both"/>
        <w:rPr>
          <w:sz w:val="24"/>
          <w:szCs w:val="24"/>
        </w:rPr>
      </w:pPr>
      <w:r w:rsidRPr="005F3CD6">
        <w:rPr>
          <w:b/>
          <w:sz w:val="24"/>
          <w:szCs w:val="24"/>
        </w:rPr>
        <w:t>Доходы от продажи материальных и нематериальных активов</w:t>
      </w:r>
      <w:r w:rsidRPr="005F3CD6">
        <w:rPr>
          <w:sz w:val="24"/>
          <w:szCs w:val="24"/>
        </w:rPr>
        <w:t>. Доходы от реализаци</w:t>
      </w:r>
      <w:r w:rsidR="00372147">
        <w:rPr>
          <w:sz w:val="24"/>
          <w:szCs w:val="24"/>
        </w:rPr>
        <w:t>и имущества запланированы в 2015 году в сумме 7</w:t>
      </w:r>
      <w:r w:rsidR="00785FF4">
        <w:rPr>
          <w:sz w:val="24"/>
          <w:szCs w:val="24"/>
        </w:rPr>
        <w:t>00,0 тыс. руб. (с ростом доходов  в шесть раз к показателям текущего года), на 2016 год в сумме 105,0 тыс. руб. (с ростом  к 2015</w:t>
      </w:r>
      <w:r w:rsidRPr="005F3CD6">
        <w:rPr>
          <w:sz w:val="24"/>
          <w:szCs w:val="24"/>
        </w:rPr>
        <w:t xml:space="preserve"> году на 50,0 %), на </w:t>
      </w:r>
      <w:r w:rsidR="00785FF4">
        <w:rPr>
          <w:sz w:val="24"/>
          <w:szCs w:val="24"/>
        </w:rPr>
        <w:t>2016 год в сумме 110</w:t>
      </w:r>
      <w:r w:rsidRPr="005F3CD6">
        <w:rPr>
          <w:sz w:val="24"/>
          <w:szCs w:val="24"/>
        </w:rPr>
        <w:t>,0</w:t>
      </w:r>
      <w:r w:rsidR="00785FF4">
        <w:rPr>
          <w:sz w:val="24"/>
          <w:szCs w:val="24"/>
        </w:rPr>
        <w:t xml:space="preserve"> тыс. руб. (с ростом к периоду 2016 года на 4,8%</w:t>
      </w:r>
      <w:r w:rsidRPr="005F3CD6">
        <w:rPr>
          <w:sz w:val="24"/>
          <w:szCs w:val="24"/>
        </w:rPr>
        <w:t xml:space="preserve">). 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b/>
          <w:sz w:val="24"/>
          <w:szCs w:val="24"/>
        </w:rPr>
        <w:t xml:space="preserve">Штрафы, санкции, возмещение ущерба. </w:t>
      </w:r>
      <w:r w:rsidRPr="005F3CD6">
        <w:rPr>
          <w:sz w:val="24"/>
          <w:szCs w:val="24"/>
        </w:rPr>
        <w:t xml:space="preserve">Прогноз сумм по штрафам и иным </w:t>
      </w:r>
      <w:r w:rsidRPr="005F3CD6">
        <w:rPr>
          <w:sz w:val="24"/>
          <w:szCs w:val="24"/>
        </w:rPr>
        <w:lastRenderedPageBreak/>
        <w:t>суммам принудительного взыскания спрогнозированы главными администрат</w:t>
      </w:r>
      <w:r w:rsidR="00E6752A">
        <w:rPr>
          <w:sz w:val="24"/>
          <w:szCs w:val="24"/>
        </w:rPr>
        <w:t>орами доходов бюджета на 2015 год в сумме 580,0 тыс.руб. Снижение к  периоду 2014 года на 18,3% . Показатели запланированные на  2016-2017 годах по 597,0 тыс. руб. и 612</w:t>
      </w:r>
      <w:r w:rsidRPr="005F3CD6">
        <w:rPr>
          <w:sz w:val="24"/>
          <w:szCs w:val="24"/>
        </w:rPr>
        <w:t>,0 тыс.руб. соответственно.</w:t>
      </w:r>
    </w:p>
    <w:p w:rsidR="005F3CD6" w:rsidRPr="005F3CD6" w:rsidRDefault="005F3CD6" w:rsidP="005F3CD6">
      <w:pPr>
        <w:widowControl w:val="0"/>
        <w:ind w:firstLine="851"/>
        <w:jc w:val="both"/>
        <w:rPr>
          <w:b/>
          <w:sz w:val="24"/>
          <w:szCs w:val="24"/>
        </w:rPr>
      </w:pPr>
      <w:r w:rsidRPr="005F3CD6">
        <w:rPr>
          <w:b/>
          <w:sz w:val="24"/>
          <w:szCs w:val="24"/>
        </w:rPr>
        <w:t>Безвозмездные поступления.</w:t>
      </w:r>
    </w:p>
    <w:p w:rsidR="005F3CD6" w:rsidRPr="005F3CD6" w:rsidRDefault="00E6752A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Проектом бюджета на 2015</w:t>
      </w:r>
      <w:r w:rsidR="005F3CD6" w:rsidRPr="005F3CD6">
        <w:rPr>
          <w:sz w:val="24"/>
          <w:szCs w:val="24"/>
        </w:rPr>
        <w:t xml:space="preserve"> год безвозмездные поступления учтены в о</w:t>
      </w:r>
      <w:r>
        <w:rPr>
          <w:sz w:val="24"/>
          <w:szCs w:val="24"/>
        </w:rPr>
        <w:t>бщей сумме 94211,3</w:t>
      </w:r>
      <w:r w:rsidR="006009C0">
        <w:rPr>
          <w:sz w:val="24"/>
          <w:szCs w:val="24"/>
        </w:rPr>
        <w:t xml:space="preserve"> тыс. руб., что на 35,9 %, меньше запланированных безвозмездных  поступлений   районного  бюджета  2014</w:t>
      </w:r>
      <w:r w:rsidR="005F3CD6" w:rsidRPr="005F3CD6">
        <w:rPr>
          <w:sz w:val="24"/>
          <w:szCs w:val="24"/>
        </w:rPr>
        <w:t xml:space="preserve"> год</w:t>
      </w:r>
      <w:r w:rsidR="006009C0">
        <w:rPr>
          <w:sz w:val="24"/>
          <w:szCs w:val="24"/>
        </w:rPr>
        <w:t>а( в последней редакции)</w:t>
      </w:r>
      <w:r w:rsidR="005F3CD6" w:rsidRPr="005F3CD6">
        <w:rPr>
          <w:sz w:val="24"/>
          <w:szCs w:val="24"/>
        </w:rPr>
        <w:t>, в том числе:</w:t>
      </w:r>
    </w:p>
    <w:p w:rsidR="006009C0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субсидии бюджетам субъектов Российской Федерации и муниципальных образований (межбюджетные субсидии</w:t>
      </w:r>
      <w:r w:rsidR="006009C0">
        <w:rPr>
          <w:sz w:val="24"/>
          <w:szCs w:val="24"/>
        </w:rPr>
        <w:t>) из  областного  бюджета 2642,4 тыс. руб., составляющие 2,8</w:t>
      </w:r>
      <w:r w:rsidRPr="005F3CD6">
        <w:rPr>
          <w:sz w:val="24"/>
          <w:szCs w:val="24"/>
        </w:rPr>
        <w:t xml:space="preserve"> % в общем объеме безвозмездных поступлений </w:t>
      </w:r>
      <w:r w:rsidR="006009C0">
        <w:rPr>
          <w:sz w:val="24"/>
          <w:szCs w:val="24"/>
        </w:rPr>
        <w:t>2015 года;</w:t>
      </w:r>
    </w:p>
    <w:p w:rsidR="006009C0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субвенции бюджетам субъектов Российской Федерации из областног</w:t>
      </w:r>
      <w:r w:rsidR="006009C0">
        <w:rPr>
          <w:sz w:val="24"/>
          <w:szCs w:val="24"/>
        </w:rPr>
        <w:t xml:space="preserve">о  бюджета – 58587,7 тыс. руб. составляющие 62,2 </w:t>
      </w:r>
      <w:r w:rsidRPr="005F3CD6">
        <w:rPr>
          <w:sz w:val="24"/>
          <w:szCs w:val="24"/>
        </w:rPr>
        <w:t xml:space="preserve"> % в общем объеме безвозмездных поступлений</w:t>
      </w:r>
      <w:r w:rsidR="006009C0">
        <w:rPr>
          <w:sz w:val="24"/>
          <w:szCs w:val="24"/>
        </w:rPr>
        <w:t xml:space="preserve"> 2015 года.</w:t>
      </w:r>
    </w:p>
    <w:p w:rsidR="005F3CD6" w:rsidRPr="005F3CD6" w:rsidRDefault="005F3CD6" w:rsidP="005F3CD6">
      <w:pPr>
        <w:widowControl w:val="0"/>
        <w:ind w:firstLine="851"/>
        <w:jc w:val="both"/>
        <w:rPr>
          <w:i/>
          <w:sz w:val="24"/>
          <w:szCs w:val="24"/>
          <w:u w:val="single"/>
        </w:rPr>
      </w:pPr>
      <w:r w:rsidRPr="005F3CD6">
        <w:rPr>
          <w:i/>
          <w:sz w:val="24"/>
          <w:szCs w:val="24"/>
          <w:u w:val="single"/>
        </w:rPr>
        <w:t xml:space="preserve">Формирование доходной </w:t>
      </w:r>
      <w:r w:rsidR="00CC400C">
        <w:rPr>
          <w:i/>
          <w:sz w:val="24"/>
          <w:szCs w:val="24"/>
          <w:u w:val="single"/>
        </w:rPr>
        <w:t>части районного  бюджета на 2015-2017</w:t>
      </w:r>
      <w:r w:rsidRPr="005F3CD6">
        <w:rPr>
          <w:i/>
          <w:sz w:val="24"/>
          <w:szCs w:val="24"/>
          <w:u w:val="single"/>
        </w:rPr>
        <w:t xml:space="preserve"> годы осуществлено в Проекте бюджета с учетом условий изменений бюджетного и налогового законодательства.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</w:p>
    <w:p w:rsidR="005F3CD6" w:rsidRPr="005F3CD6" w:rsidRDefault="005F3CD6" w:rsidP="005F3CD6">
      <w:pPr>
        <w:widowControl w:val="0"/>
        <w:jc w:val="center"/>
        <w:rPr>
          <w:b/>
          <w:sz w:val="24"/>
          <w:szCs w:val="24"/>
        </w:rPr>
      </w:pPr>
      <w:r w:rsidRPr="005F3CD6">
        <w:rPr>
          <w:b/>
          <w:sz w:val="24"/>
          <w:szCs w:val="24"/>
        </w:rPr>
        <w:t>Прогнозируемые ра</w:t>
      </w:r>
      <w:r w:rsidR="00CC400C">
        <w:rPr>
          <w:b/>
          <w:sz w:val="24"/>
          <w:szCs w:val="24"/>
        </w:rPr>
        <w:t>сходы районного  бюджета на 2015 год и плановый период 2016 и 2017</w:t>
      </w:r>
      <w:r w:rsidRPr="005F3CD6">
        <w:rPr>
          <w:b/>
          <w:sz w:val="24"/>
          <w:szCs w:val="24"/>
        </w:rPr>
        <w:t xml:space="preserve"> годов</w:t>
      </w:r>
    </w:p>
    <w:p w:rsidR="005F3CD6" w:rsidRPr="005F3CD6" w:rsidRDefault="005F3CD6" w:rsidP="005F3CD6">
      <w:pPr>
        <w:widowControl w:val="0"/>
        <w:ind w:firstLine="851"/>
        <w:jc w:val="center"/>
        <w:rPr>
          <w:sz w:val="24"/>
          <w:szCs w:val="24"/>
        </w:rPr>
      </w:pPr>
    </w:p>
    <w:p w:rsidR="00AC32B7" w:rsidRDefault="005F3CD6" w:rsidP="00AC32B7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Проектом бюджета расходы на 201</w:t>
      </w:r>
      <w:r w:rsidR="00AC32B7">
        <w:rPr>
          <w:sz w:val="24"/>
          <w:szCs w:val="24"/>
        </w:rPr>
        <w:t>5</w:t>
      </w:r>
      <w:r w:rsidRPr="005F3CD6">
        <w:rPr>
          <w:sz w:val="24"/>
          <w:szCs w:val="24"/>
        </w:rPr>
        <w:t xml:space="preserve"> год предлаг</w:t>
      </w:r>
      <w:r w:rsidR="00AC32B7">
        <w:rPr>
          <w:sz w:val="24"/>
          <w:szCs w:val="24"/>
        </w:rPr>
        <w:t>ается утвердить в сумме 124107,5</w:t>
      </w:r>
      <w:r w:rsidRPr="005F3CD6">
        <w:rPr>
          <w:sz w:val="24"/>
          <w:szCs w:val="24"/>
        </w:rPr>
        <w:t xml:space="preserve"> тыс. руб. с уменьшением к уточнен</w:t>
      </w:r>
      <w:r w:rsidR="00AC32B7">
        <w:rPr>
          <w:sz w:val="24"/>
          <w:szCs w:val="24"/>
        </w:rPr>
        <w:t>ному плану расходов бюджета 2014</w:t>
      </w:r>
      <w:r w:rsidR="00FE4D56">
        <w:rPr>
          <w:sz w:val="24"/>
          <w:szCs w:val="24"/>
        </w:rPr>
        <w:t xml:space="preserve"> года </w:t>
      </w:r>
      <w:r w:rsidR="00AC32B7">
        <w:rPr>
          <w:sz w:val="24"/>
          <w:szCs w:val="24"/>
        </w:rPr>
        <w:t xml:space="preserve"> на 49514,8 тыс.руб</w:t>
      </w:r>
      <w:r w:rsidR="00FE4D56">
        <w:rPr>
          <w:sz w:val="24"/>
          <w:szCs w:val="24"/>
        </w:rPr>
        <w:t>.,или на 28,5 %.</w:t>
      </w:r>
    </w:p>
    <w:p w:rsidR="005F3CD6" w:rsidRPr="005F3CD6" w:rsidRDefault="005F3CD6" w:rsidP="00AC32B7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На плановый период Проектом бюджета предлагается утвердить:</w:t>
      </w:r>
    </w:p>
    <w:p w:rsidR="005F3CD6" w:rsidRPr="005F3CD6" w:rsidRDefault="00FE4D56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 2016 год 107097,6 тыс. руб. со снижением  к 2015 году на 17009,9 тыс. руб. или на 13,7</w:t>
      </w:r>
      <w:r w:rsidR="005F3CD6" w:rsidRPr="005F3CD6">
        <w:rPr>
          <w:sz w:val="24"/>
          <w:szCs w:val="24"/>
        </w:rPr>
        <w:t>%;</w:t>
      </w:r>
    </w:p>
    <w:p w:rsidR="005F3CD6" w:rsidRPr="005F3CD6" w:rsidRDefault="00FE4D56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 2017 год 117847,3 тыс. руб.  с ростом к 2016 году на 10749,7  тыс. руб. или на 10,0</w:t>
      </w:r>
      <w:r w:rsidR="005F3CD6" w:rsidRPr="005F3CD6">
        <w:rPr>
          <w:sz w:val="24"/>
          <w:szCs w:val="24"/>
        </w:rPr>
        <w:t xml:space="preserve"> %.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Проверка соблюдения норм Бюджетного кодекса РФ при составлении Проекта бюджета по расходам показала следующее:</w:t>
      </w:r>
    </w:p>
    <w:p w:rsidR="005F3CD6" w:rsidRPr="005F3CD6" w:rsidRDefault="0062397D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в  нарушение п</w:t>
      </w:r>
      <w:r w:rsidR="00690E50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3.</w:t>
      </w:r>
      <w:r w:rsidR="005F3CD6" w:rsidRPr="003014A6">
        <w:rPr>
          <w:sz w:val="24"/>
          <w:szCs w:val="24"/>
          <w:highlight w:val="yellow"/>
        </w:rPr>
        <w:t xml:space="preserve">ст. </w:t>
      </w:r>
      <w:r w:rsidR="00C26318">
        <w:rPr>
          <w:sz w:val="24"/>
          <w:szCs w:val="24"/>
          <w:highlight w:val="yellow"/>
        </w:rPr>
        <w:t>184.1 Бюджетного кодекса РФ  проектом Решения о   бюджете</w:t>
      </w:r>
      <w:r w:rsidR="005F3CD6" w:rsidRPr="003014A6">
        <w:rPr>
          <w:sz w:val="24"/>
          <w:szCs w:val="24"/>
          <w:highlight w:val="yellow"/>
        </w:rPr>
        <w:t xml:space="preserve"> </w:t>
      </w:r>
      <w:r w:rsidR="00C26318">
        <w:rPr>
          <w:sz w:val="24"/>
          <w:szCs w:val="24"/>
        </w:rPr>
        <w:t xml:space="preserve">не утверждаются </w:t>
      </w:r>
      <w:r>
        <w:rPr>
          <w:sz w:val="24"/>
          <w:szCs w:val="24"/>
        </w:rPr>
        <w:t>оббьем бюджетных ассигнований направленных на исполнение публичных нормативных обязательств.</w:t>
      </w:r>
    </w:p>
    <w:p w:rsidR="005F3CD6" w:rsidRPr="005F3CD6" w:rsidRDefault="005F3CD6" w:rsidP="005F3CD6">
      <w:pPr>
        <w:widowControl w:val="0"/>
        <w:ind w:firstLine="851"/>
        <w:jc w:val="right"/>
        <w:rPr>
          <w:i/>
          <w:sz w:val="24"/>
          <w:szCs w:val="24"/>
        </w:rPr>
      </w:pPr>
      <w:r w:rsidRPr="005F3CD6">
        <w:rPr>
          <w:i/>
          <w:sz w:val="24"/>
          <w:szCs w:val="24"/>
        </w:rPr>
        <w:t>Таблица 5</w:t>
      </w:r>
    </w:p>
    <w:p w:rsidR="005F3CD6" w:rsidRPr="005F3CD6" w:rsidRDefault="005F3CD6" w:rsidP="005F3CD6">
      <w:pPr>
        <w:widowControl w:val="0"/>
        <w:ind w:left="851"/>
        <w:jc w:val="center"/>
        <w:rPr>
          <w:sz w:val="24"/>
          <w:szCs w:val="24"/>
        </w:rPr>
      </w:pPr>
      <w:r w:rsidRPr="005F3CD6">
        <w:rPr>
          <w:sz w:val="24"/>
          <w:szCs w:val="24"/>
        </w:rPr>
        <w:t xml:space="preserve">Структура расходной </w:t>
      </w:r>
      <w:r w:rsidR="0062397D">
        <w:rPr>
          <w:sz w:val="24"/>
          <w:szCs w:val="24"/>
        </w:rPr>
        <w:t>части районного  бюджета на 2014-2017</w:t>
      </w:r>
      <w:r w:rsidRPr="005F3CD6">
        <w:rPr>
          <w:sz w:val="24"/>
          <w:szCs w:val="24"/>
        </w:rPr>
        <w:t>годы</w:t>
      </w:r>
    </w:p>
    <w:p w:rsidR="005F3CD6" w:rsidRPr="005F3CD6" w:rsidRDefault="005F3CD6" w:rsidP="005F3CD6">
      <w:pPr>
        <w:widowControl w:val="0"/>
        <w:ind w:left="851"/>
        <w:jc w:val="center"/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  <w:gridCol w:w="709"/>
        <w:gridCol w:w="1134"/>
        <w:gridCol w:w="709"/>
        <w:gridCol w:w="1134"/>
        <w:gridCol w:w="992"/>
        <w:gridCol w:w="1134"/>
        <w:gridCol w:w="850"/>
      </w:tblGrid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Наименование расходов по функциональной структуре</w:t>
            </w:r>
          </w:p>
        </w:tc>
        <w:tc>
          <w:tcPr>
            <w:tcW w:w="1134" w:type="dxa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Последняя редак</w:t>
            </w:r>
            <w:r w:rsidR="00176851">
              <w:rPr>
                <w:sz w:val="24"/>
                <w:szCs w:val="24"/>
              </w:rPr>
              <w:t>ция бюджета на 2014</w:t>
            </w:r>
            <w:r w:rsidRPr="005F3CD6"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709" w:type="dxa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удельный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вес,%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17685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Бюджет2015</w:t>
            </w:r>
            <w:r w:rsidR="005F3CD6" w:rsidRPr="005F3CD6">
              <w:rPr>
                <w:sz w:val="24"/>
                <w:szCs w:val="24"/>
              </w:rPr>
              <w:t xml:space="preserve"> год,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удельный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вес,%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17685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Бюджет2016</w:t>
            </w:r>
            <w:r w:rsidR="005F3CD6" w:rsidRPr="005F3CD6">
              <w:rPr>
                <w:sz w:val="24"/>
                <w:szCs w:val="24"/>
              </w:rPr>
              <w:t xml:space="preserve"> год,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удельный вес,%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17685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Бюджет2017</w:t>
            </w:r>
            <w:r w:rsidR="005F3CD6" w:rsidRPr="005F3CD6">
              <w:rPr>
                <w:sz w:val="24"/>
                <w:szCs w:val="24"/>
              </w:rPr>
              <w:t xml:space="preserve"> год,</w:t>
            </w:r>
          </w:p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удельный вес,%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13561,4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Национальная безопасность и</w:t>
            </w:r>
          </w:p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625,8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Мобилизационна</w:t>
            </w:r>
            <w:r w:rsidRPr="005F3CD6">
              <w:rPr>
                <w:sz w:val="24"/>
                <w:szCs w:val="24"/>
              </w:rPr>
              <w:lastRenderedPageBreak/>
              <w:t>я и вневойсковая подготовка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268,4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28388,6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11380,9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81763,8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15661,8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16089,2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F3CD6" w:rsidRPr="005F3CD6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5F3CD6" w:rsidRDefault="005F3CD6" w:rsidP="006D0E52">
            <w:pPr>
              <w:widowControl w:val="0"/>
              <w:rPr>
                <w:sz w:val="24"/>
                <w:szCs w:val="24"/>
              </w:rPr>
            </w:pPr>
            <w:r w:rsidRPr="005F3C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5497,6</w:t>
            </w:r>
          </w:p>
        </w:tc>
        <w:tc>
          <w:tcPr>
            <w:tcW w:w="709" w:type="dxa"/>
            <w:vAlign w:val="center"/>
          </w:tcPr>
          <w:p w:rsidR="005F3CD6" w:rsidRPr="005F3CD6" w:rsidRDefault="00726D61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D6" w:rsidRPr="005F3CD6" w:rsidRDefault="00C0759A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CD6" w:rsidRPr="005F3CD6" w:rsidRDefault="00D65678" w:rsidP="006D0E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F3CD6" w:rsidRPr="00D65678" w:rsidTr="006D0E52">
        <w:trPr>
          <w:jc w:val="center"/>
        </w:trPr>
        <w:tc>
          <w:tcPr>
            <w:tcW w:w="2093" w:type="dxa"/>
            <w:shd w:val="clear" w:color="auto" w:fill="auto"/>
          </w:tcPr>
          <w:p w:rsidR="005F3CD6" w:rsidRPr="00726D61" w:rsidRDefault="005F3CD6" w:rsidP="006D0E52">
            <w:pPr>
              <w:widowControl w:val="0"/>
              <w:rPr>
                <w:b/>
              </w:rPr>
            </w:pPr>
            <w:r w:rsidRPr="00726D61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5F3CD6" w:rsidRPr="00726D61" w:rsidRDefault="00726D61" w:rsidP="006D0E52">
            <w:pPr>
              <w:widowControl w:val="0"/>
              <w:jc w:val="center"/>
              <w:rPr>
                <w:b/>
              </w:rPr>
            </w:pPr>
            <w:r w:rsidRPr="00726D61">
              <w:rPr>
                <w:b/>
              </w:rPr>
              <w:t>173622,5</w:t>
            </w:r>
          </w:p>
        </w:tc>
        <w:tc>
          <w:tcPr>
            <w:tcW w:w="709" w:type="dxa"/>
          </w:tcPr>
          <w:p w:rsidR="005F3CD6" w:rsidRPr="00726D61" w:rsidRDefault="00726D61" w:rsidP="006D0E52">
            <w:pPr>
              <w:widowControl w:val="0"/>
              <w:jc w:val="center"/>
              <w:rPr>
                <w:b/>
              </w:rPr>
            </w:pPr>
            <w:r w:rsidRPr="00726D61">
              <w:rPr>
                <w:b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F3CD6" w:rsidRPr="00C0759A" w:rsidRDefault="00C0759A" w:rsidP="006D0E52">
            <w:pPr>
              <w:widowControl w:val="0"/>
              <w:jc w:val="center"/>
              <w:rPr>
                <w:b/>
              </w:rPr>
            </w:pPr>
            <w:r w:rsidRPr="00C0759A">
              <w:rPr>
                <w:b/>
              </w:rPr>
              <w:t>124107,5</w:t>
            </w:r>
          </w:p>
        </w:tc>
        <w:tc>
          <w:tcPr>
            <w:tcW w:w="709" w:type="dxa"/>
            <w:shd w:val="clear" w:color="auto" w:fill="auto"/>
          </w:tcPr>
          <w:p w:rsidR="005F3CD6" w:rsidRPr="00C0759A" w:rsidRDefault="00C0759A" w:rsidP="006D0E52">
            <w:pPr>
              <w:widowControl w:val="0"/>
              <w:jc w:val="center"/>
              <w:rPr>
                <w:b/>
              </w:rPr>
            </w:pPr>
            <w:r w:rsidRPr="00C0759A">
              <w:rPr>
                <w:b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F3CD6" w:rsidRPr="00C0759A" w:rsidRDefault="00C0759A" w:rsidP="006D0E5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107097,6</w:t>
            </w:r>
          </w:p>
        </w:tc>
        <w:tc>
          <w:tcPr>
            <w:tcW w:w="992" w:type="dxa"/>
            <w:shd w:val="clear" w:color="auto" w:fill="auto"/>
          </w:tcPr>
          <w:p w:rsidR="005F3CD6" w:rsidRPr="00C0759A" w:rsidRDefault="00C0759A" w:rsidP="006D0E52">
            <w:pPr>
              <w:widowControl w:val="0"/>
              <w:jc w:val="center"/>
              <w:rPr>
                <w:b/>
              </w:rPr>
            </w:pPr>
            <w:r w:rsidRPr="00C0759A">
              <w:rPr>
                <w:b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F3CD6" w:rsidRPr="00C0759A" w:rsidRDefault="00C0759A" w:rsidP="006D0E52">
            <w:pPr>
              <w:widowControl w:val="0"/>
              <w:jc w:val="center"/>
              <w:rPr>
                <w:b/>
              </w:rPr>
            </w:pPr>
            <w:r w:rsidRPr="00C0759A">
              <w:rPr>
                <w:b/>
              </w:rPr>
              <w:t>117847,3</w:t>
            </w:r>
          </w:p>
        </w:tc>
        <w:tc>
          <w:tcPr>
            <w:tcW w:w="850" w:type="dxa"/>
            <w:shd w:val="clear" w:color="auto" w:fill="auto"/>
          </w:tcPr>
          <w:p w:rsidR="005F3CD6" w:rsidRPr="00D65678" w:rsidRDefault="00D65678" w:rsidP="006D0E52">
            <w:pPr>
              <w:widowControl w:val="0"/>
              <w:jc w:val="center"/>
              <w:rPr>
                <w:b/>
                <w:highlight w:val="yellow"/>
              </w:rPr>
            </w:pPr>
            <w:r w:rsidRPr="0062397D">
              <w:rPr>
                <w:b/>
              </w:rPr>
              <w:t>100,0</w:t>
            </w:r>
          </w:p>
        </w:tc>
      </w:tr>
    </w:tbl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</w:p>
    <w:p w:rsidR="005F3CD6" w:rsidRDefault="0062397D" w:rsidP="005F3CD6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структуры </w:t>
      </w:r>
      <w:r w:rsidR="005F3CD6" w:rsidRPr="005F3CD6">
        <w:rPr>
          <w:sz w:val="24"/>
          <w:szCs w:val="24"/>
        </w:rPr>
        <w:t xml:space="preserve"> расходной части  районного бюджета  пока</w:t>
      </w:r>
      <w:r>
        <w:rPr>
          <w:sz w:val="24"/>
          <w:szCs w:val="24"/>
        </w:rPr>
        <w:t xml:space="preserve">зывает, что по всем разделам предусмотрено снижение </w:t>
      </w:r>
      <w:r w:rsidR="005F3CD6" w:rsidRPr="005F3CD6">
        <w:rPr>
          <w:sz w:val="24"/>
          <w:szCs w:val="24"/>
        </w:rPr>
        <w:t xml:space="preserve"> расходов </w:t>
      </w:r>
      <w:r w:rsidR="00492CC9">
        <w:rPr>
          <w:sz w:val="24"/>
          <w:szCs w:val="24"/>
        </w:rPr>
        <w:t xml:space="preserve"> к расходам ожидаемого исполнения </w:t>
      </w:r>
      <w:r>
        <w:rPr>
          <w:sz w:val="24"/>
          <w:szCs w:val="24"/>
        </w:rPr>
        <w:t xml:space="preserve"> 2014 года.Заметное снижение предусмотрено</w:t>
      </w:r>
      <w:r w:rsidR="005F3CD6" w:rsidRPr="005F3CD6">
        <w:rPr>
          <w:sz w:val="24"/>
          <w:szCs w:val="24"/>
        </w:rPr>
        <w:t xml:space="preserve"> по таким  разделам как: </w:t>
      </w:r>
    </w:p>
    <w:p w:rsidR="00201E47" w:rsidRDefault="00201E47" w:rsidP="00201E47">
      <w:pPr>
        <w:widowControl w:val="0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национальная эк</w:t>
      </w:r>
      <w:r>
        <w:rPr>
          <w:sz w:val="24"/>
          <w:szCs w:val="24"/>
        </w:rPr>
        <w:t>ономика – на 82,9 % или на 23539,2</w:t>
      </w:r>
      <w:r w:rsidRPr="005F3CD6">
        <w:rPr>
          <w:sz w:val="24"/>
          <w:szCs w:val="24"/>
        </w:rPr>
        <w:t>тыс.руб.;</w:t>
      </w:r>
    </w:p>
    <w:p w:rsidR="00201E47" w:rsidRDefault="00201E47" w:rsidP="005F3C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-жилищно-коммунальное хозяйство – на 78,3% или на  8915,9 тыс.руб.</w:t>
      </w:r>
    </w:p>
    <w:p w:rsidR="005F3CD6" w:rsidRDefault="005F3CD6" w:rsidP="005F3CD6">
      <w:pPr>
        <w:widowControl w:val="0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 - социальная п</w:t>
      </w:r>
      <w:r w:rsidR="00201E47">
        <w:rPr>
          <w:sz w:val="24"/>
          <w:szCs w:val="24"/>
        </w:rPr>
        <w:t>олитика -   на 32,8 % или  на 5271,1</w:t>
      </w:r>
      <w:r w:rsidRPr="005F3CD6">
        <w:rPr>
          <w:sz w:val="24"/>
          <w:szCs w:val="24"/>
        </w:rPr>
        <w:t>тыс.руб.;</w:t>
      </w:r>
    </w:p>
    <w:p w:rsidR="005F3CD6" w:rsidRPr="005F3CD6" w:rsidRDefault="005F3CD6" w:rsidP="005F3CD6">
      <w:pPr>
        <w:widowControl w:val="0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          - культура и к</w:t>
      </w:r>
      <w:r w:rsidR="00201E47">
        <w:rPr>
          <w:sz w:val="24"/>
          <w:szCs w:val="24"/>
        </w:rPr>
        <w:t>инематография – 26,9% или 4214,8</w:t>
      </w:r>
      <w:r w:rsidRPr="005F3CD6">
        <w:rPr>
          <w:sz w:val="24"/>
          <w:szCs w:val="24"/>
        </w:rPr>
        <w:t xml:space="preserve"> тыс. руб.;</w:t>
      </w:r>
    </w:p>
    <w:p w:rsidR="005F3CD6" w:rsidRPr="005F3CD6" w:rsidRDefault="005F3CD6" w:rsidP="005F3CD6">
      <w:pPr>
        <w:widowControl w:val="0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            - общегосударственные ра</w:t>
      </w:r>
      <w:r w:rsidR="00201E47">
        <w:rPr>
          <w:sz w:val="24"/>
          <w:szCs w:val="24"/>
        </w:rPr>
        <w:t>сходы –  на 14,1  % или на  1912,6</w:t>
      </w:r>
      <w:r w:rsidRPr="005F3CD6">
        <w:rPr>
          <w:sz w:val="24"/>
          <w:szCs w:val="24"/>
        </w:rPr>
        <w:t xml:space="preserve"> тыс. руб.;</w:t>
      </w:r>
    </w:p>
    <w:p w:rsidR="005F3CD6" w:rsidRDefault="005F3CD6" w:rsidP="00B47CDB">
      <w:pPr>
        <w:widowControl w:val="0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-</w:t>
      </w:r>
      <w:r w:rsidR="00201E47">
        <w:rPr>
          <w:sz w:val="24"/>
          <w:szCs w:val="24"/>
        </w:rPr>
        <w:t xml:space="preserve"> образование- 2,7  % или на 2193,5 </w:t>
      </w:r>
      <w:r w:rsidRPr="005F3CD6">
        <w:rPr>
          <w:sz w:val="24"/>
          <w:szCs w:val="24"/>
        </w:rPr>
        <w:t xml:space="preserve"> тыс. руб.</w:t>
      </w:r>
    </w:p>
    <w:p w:rsidR="00B47CDB" w:rsidRPr="005F3CD6" w:rsidRDefault="00B47CDB" w:rsidP="00B47C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Выявленное  снижение  предусмотренных расходов планируемого бюджета  2015 года к ожидаемым расходам 2014 года говорит о  том, что </w:t>
      </w:r>
      <w:r w:rsidRPr="00B47CDB">
        <w:rPr>
          <w:sz w:val="24"/>
          <w:szCs w:val="24"/>
        </w:rPr>
        <w:t>предложенный Проект бюджета не соответствует принципу общего (совокупного)</w:t>
      </w:r>
      <w:r w:rsidR="00B561A2">
        <w:rPr>
          <w:sz w:val="24"/>
          <w:szCs w:val="24"/>
        </w:rPr>
        <w:t xml:space="preserve"> </w:t>
      </w:r>
      <w:r w:rsidRPr="00B47CDB">
        <w:rPr>
          <w:sz w:val="24"/>
          <w:szCs w:val="24"/>
        </w:rPr>
        <w:t>покрытия расходов бюджета, что определяется ст.35 Бюджетного Кодекса Российской Федерации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B47CDB">
        <w:rPr>
          <w:sz w:val="24"/>
          <w:szCs w:val="24"/>
          <w:highlight w:val="yellow"/>
        </w:rPr>
        <w:t>В соответствии с Федеральным законом от 07 мая 2013 № 104-ФЗ «О внесении</w:t>
      </w:r>
      <w:r w:rsidRPr="005F3CD6">
        <w:rPr>
          <w:sz w:val="24"/>
          <w:szCs w:val="24"/>
        </w:rPr>
        <w:t xml:space="preserve">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 целях выполнения задач, определенных Президентом Российской Федерации, проект бюджет</w:t>
      </w:r>
      <w:r w:rsidR="008E796E">
        <w:rPr>
          <w:sz w:val="24"/>
          <w:szCs w:val="24"/>
        </w:rPr>
        <w:t>а  Новосильского района  на 2015 год и на плановый период 2016 и 2017</w:t>
      </w:r>
      <w:r w:rsidRPr="005F3CD6">
        <w:rPr>
          <w:sz w:val="24"/>
          <w:szCs w:val="24"/>
        </w:rPr>
        <w:t xml:space="preserve"> годов сформирован в структуре расходов на основе муниципальных программ и непрограммным направлениям.</w:t>
      </w:r>
    </w:p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Перечнем, утвержденным распоряжением Администрации  Новосильского района от 15.10.2</w:t>
      </w:r>
      <w:r w:rsidR="008E796E">
        <w:rPr>
          <w:sz w:val="24"/>
          <w:szCs w:val="24"/>
        </w:rPr>
        <w:t>013 № 295 в районе утверждено 17</w:t>
      </w:r>
      <w:r w:rsidRPr="005F3CD6">
        <w:rPr>
          <w:sz w:val="24"/>
          <w:szCs w:val="24"/>
        </w:rPr>
        <w:t xml:space="preserve"> муницип</w:t>
      </w:r>
      <w:r w:rsidR="008E796E">
        <w:rPr>
          <w:sz w:val="24"/>
          <w:szCs w:val="24"/>
        </w:rPr>
        <w:t xml:space="preserve">альных программ. Из семнадцати </w:t>
      </w:r>
      <w:r w:rsidRPr="005F3CD6">
        <w:rPr>
          <w:sz w:val="24"/>
          <w:szCs w:val="24"/>
        </w:rPr>
        <w:t xml:space="preserve"> муниципальных программ в</w:t>
      </w:r>
      <w:r w:rsidR="008E796E">
        <w:rPr>
          <w:sz w:val="24"/>
          <w:szCs w:val="24"/>
        </w:rPr>
        <w:t xml:space="preserve"> проекте бюджета представлено 13</w:t>
      </w:r>
      <w:r w:rsidRPr="005F3CD6">
        <w:rPr>
          <w:sz w:val="24"/>
          <w:szCs w:val="24"/>
        </w:rPr>
        <w:t xml:space="preserve"> программ.</w:t>
      </w:r>
    </w:p>
    <w:p w:rsidR="00F85355" w:rsidRDefault="005F3CD6" w:rsidP="005F3CD6">
      <w:pPr>
        <w:widowControl w:val="0"/>
        <w:ind w:firstLine="709"/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Данные о расходах районного  бюджета в разрезе муниципальных программ </w:t>
      </w:r>
    </w:p>
    <w:p w:rsidR="005F3CD6" w:rsidRPr="005F3CD6" w:rsidRDefault="005F3CD6" w:rsidP="00EA3C32">
      <w:pPr>
        <w:widowControl w:val="0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представлены в таблице</w:t>
      </w:r>
      <w:r w:rsidR="00EA3C32">
        <w:rPr>
          <w:sz w:val="24"/>
          <w:szCs w:val="24"/>
        </w:rPr>
        <w:t xml:space="preserve"> № 6</w:t>
      </w:r>
      <w:r w:rsidRPr="005F3CD6">
        <w:rPr>
          <w:sz w:val="24"/>
          <w:szCs w:val="24"/>
        </w:rPr>
        <w:t>:</w:t>
      </w:r>
    </w:p>
    <w:p w:rsidR="005F3CD6" w:rsidRPr="005F3CD6" w:rsidRDefault="00690E50" w:rsidP="005552C1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EA3C32">
        <w:rPr>
          <w:i/>
          <w:sz w:val="24"/>
          <w:szCs w:val="24"/>
        </w:rPr>
        <w:t>Таблица 6</w:t>
      </w:r>
      <w:r w:rsidR="005552C1">
        <w:rPr>
          <w:i/>
          <w:sz w:val="24"/>
          <w:szCs w:val="24"/>
        </w:rPr>
        <w:t>(тыс.руб.)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/>
      </w:tblPr>
      <w:tblGrid>
        <w:gridCol w:w="451"/>
        <w:gridCol w:w="2273"/>
        <w:gridCol w:w="1490"/>
        <w:gridCol w:w="1001"/>
        <w:gridCol w:w="705"/>
        <w:gridCol w:w="1001"/>
        <w:gridCol w:w="944"/>
        <w:gridCol w:w="1001"/>
        <w:gridCol w:w="705"/>
      </w:tblGrid>
      <w:tr w:rsidR="005F3CD6" w:rsidRPr="005F3CD6" w:rsidTr="006D0E52">
        <w:trPr>
          <w:trHeight w:val="412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код муници-пальнойпрог-раммы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расходы  районного  бюджета</w:t>
            </w:r>
          </w:p>
        </w:tc>
      </w:tr>
      <w:tr w:rsidR="005F3CD6" w:rsidRPr="005F3CD6" w:rsidTr="006D0E52">
        <w:trPr>
          <w:trHeight w:val="494"/>
          <w:jc w:val="center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№ пп</w:t>
            </w:r>
          </w:p>
        </w:tc>
        <w:tc>
          <w:tcPr>
            <w:tcW w:w="1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AC32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AC32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AC32B7">
              <w:rPr>
                <w:bCs/>
                <w:sz w:val="24"/>
                <w:szCs w:val="24"/>
              </w:rPr>
              <w:t>6</w:t>
            </w:r>
          </w:p>
        </w:tc>
      </w:tr>
      <w:tr w:rsidR="005F3CD6" w:rsidRPr="005F3CD6" w:rsidTr="006D0E52">
        <w:trPr>
          <w:trHeight w:val="320"/>
          <w:jc w:val="center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сумма, тыс.руб.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доля, %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сумма, тыс.руб.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доля, %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сумма, тыс.руб.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доля, %</w:t>
            </w:r>
          </w:p>
        </w:tc>
      </w:tr>
      <w:tr w:rsidR="005F3CD6" w:rsidRPr="005F3CD6" w:rsidTr="006D0E52">
        <w:trPr>
          <w:trHeight w:val="320"/>
          <w:jc w:val="center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ind w:firstLine="851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F3CD6" w:rsidRPr="005F3CD6" w:rsidTr="006D0E52">
        <w:trPr>
          <w:trHeight w:val="963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Обеспечение условий формирования комфортной среды проживания в Новосильском районе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П4 0 19 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</w:t>
            </w:r>
          </w:p>
        </w:tc>
      </w:tr>
      <w:tr w:rsidR="005F3CD6" w:rsidRPr="005F3CD6" w:rsidTr="006D0E52">
        <w:trPr>
          <w:trHeight w:val="643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Молодежь Новосильского района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П9 0 19 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983,1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5552C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9,0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814,9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13,3</w:t>
            </w:r>
          </w:p>
        </w:tc>
      </w:tr>
      <w:tr w:rsidR="005F3CD6" w:rsidRPr="005F3CD6" w:rsidTr="006D0E52">
        <w:trPr>
          <w:trHeight w:val="963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Социальная поддержка граждан Новосильского района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ПП 0 19 31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5552C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4,9</w:t>
            </w:r>
          </w:p>
        </w:tc>
      </w:tr>
      <w:tr w:rsidR="005F3CD6" w:rsidRPr="005F3CD6" w:rsidTr="006D0E52">
        <w:trPr>
          <w:trHeight w:val="1466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Энергосбережение и повышение энергетической «Эффективности»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П7 0 19 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</w:tr>
      <w:tr w:rsidR="005F3CD6" w:rsidRPr="005F3CD6" w:rsidTr="006D0E52">
        <w:trPr>
          <w:trHeight w:val="1559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Развитие транспортной системы в Новосильском районе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ПЧ 0 19 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3820,7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3971,7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64,5</w:t>
            </w:r>
          </w:p>
        </w:tc>
      </w:tr>
      <w:tr w:rsidR="005F3CD6" w:rsidRPr="005F3CD6" w:rsidTr="006D0E52">
        <w:trPr>
          <w:trHeight w:val="1605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Развитие системы комплексной безопасности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П6 0 19 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F3CD6" w:rsidRPr="005F3CD6" w:rsidTr="006D0E52">
        <w:trPr>
          <w:trHeight w:val="611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Устойчивое развитие сельских территорий до 2017 года и на период до 2020 года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ind w:firstLine="851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ПП1 2 19 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1513,3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</w:tr>
      <w:tr w:rsidR="005F3CD6" w:rsidRPr="005F3CD6" w:rsidTr="006D0E52">
        <w:trPr>
          <w:trHeight w:val="643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Обеспечение законности и правопорядка на территории Новосильского района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ind w:firstLine="851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ПП5 0 19 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5552C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F3CD6" w:rsidRPr="005F3CD6" w:rsidTr="006D0E52">
        <w:trPr>
          <w:trHeight w:val="963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Повышение эффективности муниципального управления в Новосильском районе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ind w:firstLine="851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П1 0 19 11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7,5</w:t>
            </w:r>
          </w:p>
        </w:tc>
      </w:tr>
      <w:tr w:rsidR="005F3CD6" w:rsidRPr="005F3CD6" w:rsidTr="006D0E52">
        <w:trPr>
          <w:trHeight w:val="96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Развитие отрасли культуры и искусства, туризма, сохранение и реконструкция объектов культурного наследия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ind w:firstLine="851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ПП1 0 19 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5F3CD6" w:rsidRPr="005F3CD6" w:rsidTr="006D0E52">
        <w:trPr>
          <w:trHeight w:val="1146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О развитии и поддержке малого и среднего предпринимательства в Новосильском районе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ind w:firstLine="851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ПП3 0 19 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</w:t>
            </w:r>
          </w:p>
        </w:tc>
      </w:tr>
      <w:tr w:rsidR="005F3CD6" w:rsidRPr="005F3CD6" w:rsidTr="006D0E52">
        <w:trPr>
          <w:trHeight w:val="858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 xml:space="preserve">Развитие архивного дела Новосильского района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ind w:firstLine="851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ПП2 0 19 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F3CD6" w:rsidRPr="005F3CD6" w:rsidTr="006D0E52">
        <w:trPr>
          <w:trHeight w:val="1144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Охрана окружающей среды, рациональное использование природных ресурсов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3CD6">
              <w:rPr>
                <w:bCs/>
                <w:sz w:val="24"/>
                <w:szCs w:val="24"/>
              </w:rPr>
              <w:t>П8 0 19 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552C1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AC32B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</w:tr>
      <w:tr w:rsidR="005F3CD6" w:rsidRPr="005F3CD6" w:rsidTr="006D0E52">
        <w:trPr>
          <w:trHeight w:val="643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CD6" w:rsidRPr="005F3CD6" w:rsidRDefault="005F3CD6" w:rsidP="00AC32B7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AC32B7" w:rsidP="006D0E5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8150,2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8672,8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6155,4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CD6" w:rsidRPr="005F3CD6" w:rsidRDefault="00AC32B7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5F3CD6" w:rsidRPr="005F3CD6" w:rsidTr="00AC32B7">
        <w:trPr>
          <w:trHeight w:val="8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AC32B7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CD6" w:rsidRPr="005F3CD6" w:rsidRDefault="005F3CD6" w:rsidP="006D0E5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F3CD6" w:rsidRP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</w:p>
    <w:p w:rsidR="005F3CD6" w:rsidRDefault="005F3CD6" w:rsidP="005F3CD6">
      <w:pPr>
        <w:widowControl w:val="0"/>
        <w:ind w:firstLine="851"/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Программная часть рас</w:t>
      </w:r>
      <w:r w:rsidR="00870BA3">
        <w:rPr>
          <w:sz w:val="24"/>
          <w:szCs w:val="24"/>
        </w:rPr>
        <w:t>ходов районного  бюджета на 2015</w:t>
      </w:r>
      <w:r w:rsidR="00B47CDB">
        <w:rPr>
          <w:sz w:val="24"/>
          <w:szCs w:val="24"/>
        </w:rPr>
        <w:t xml:space="preserve"> год составляет  лишь  7,0</w:t>
      </w:r>
      <w:r w:rsidRPr="005F3CD6">
        <w:rPr>
          <w:sz w:val="24"/>
          <w:szCs w:val="24"/>
        </w:rPr>
        <w:t xml:space="preserve"> % об</w:t>
      </w:r>
      <w:r w:rsidR="00B47CDB">
        <w:rPr>
          <w:sz w:val="24"/>
          <w:szCs w:val="24"/>
        </w:rPr>
        <w:t>щего объема расходов или  8672,8</w:t>
      </w:r>
      <w:r w:rsidRPr="005F3CD6">
        <w:rPr>
          <w:sz w:val="24"/>
          <w:szCs w:val="24"/>
        </w:rPr>
        <w:t xml:space="preserve"> тыс. руб. Рост запланир</w:t>
      </w:r>
      <w:r w:rsidR="00B47CDB">
        <w:rPr>
          <w:sz w:val="24"/>
          <w:szCs w:val="24"/>
        </w:rPr>
        <w:t>ованных расходов к расходам 2014</w:t>
      </w:r>
      <w:r w:rsidRPr="005F3CD6">
        <w:rPr>
          <w:sz w:val="24"/>
          <w:szCs w:val="24"/>
        </w:rPr>
        <w:t xml:space="preserve"> года составил</w:t>
      </w:r>
      <w:r w:rsidR="00B47CDB">
        <w:rPr>
          <w:sz w:val="24"/>
          <w:szCs w:val="24"/>
        </w:rPr>
        <w:t xml:space="preserve"> на  522,6 тыс.руб. или на 6,4</w:t>
      </w:r>
      <w:r w:rsidRPr="005F3CD6">
        <w:rPr>
          <w:sz w:val="24"/>
          <w:szCs w:val="24"/>
        </w:rPr>
        <w:t>%.</w:t>
      </w:r>
    </w:p>
    <w:p w:rsidR="00B47CDB" w:rsidRPr="005F3CD6" w:rsidRDefault="00B47CDB" w:rsidP="005F3CD6">
      <w:pPr>
        <w:widowControl w:val="0"/>
        <w:ind w:firstLine="851"/>
        <w:jc w:val="both"/>
        <w:rPr>
          <w:sz w:val="24"/>
          <w:szCs w:val="24"/>
        </w:rPr>
      </w:pPr>
    </w:p>
    <w:p w:rsidR="005F3CD6" w:rsidRPr="006A20B7" w:rsidRDefault="006A20B7" w:rsidP="005F3CD6">
      <w:pPr>
        <w:ind w:firstLine="708"/>
        <w:rPr>
          <w:b/>
          <w:sz w:val="24"/>
          <w:szCs w:val="24"/>
          <w:u w:val="single"/>
        </w:rPr>
      </w:pPr>
      <w:r w:rsidRPr="006A20B7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</w:t>
      </w:r>
      <w:r w:rsidRPr="006A20B7">
        <w:rPr>
          <w:b/>
          <w:sz w:val="24"/>
          <w:szCs w:val="24"/>
        </w:rPr>
        <w:t xml:space="preserve"> </w:t>
      </w:r>
      <w:r w:rsidR="005F3CD6" w:rsidRPr="006A20B7">
        <w:rPr>
          <w:b/>
          <w:sz w:val="24"/>
          <w:szCs w:val="24"/>
          <w:u w:val="single"/>
        </w:rPr>
        <w:t>РАСХОДЫ</w:t>
      </w:r>
    </w:p>
    <w:p w:rsidR="005F3CD6" w:rsidRPr="006A20B7" w:rsidRDefault="005F3CD6" w:rsidP="005F3CD6">
      <w:pPr>
        <w:ind w:firstLine="708"/>
        <w:jc w:val="center"/>
        <w:rPr>
          <w:b/>
          <w:sz w:val="24"/>
          <w:szCs w:val="24"/>
        </w:rPr>
      </w:pPr>
    </w:p>
    <w:p w:rsidR="00C920E2" w:rsidRPr="00C920E2" w:rsidRDefault="005F3CD6" w:rsidP="00C920E2">
      <w:pPr>
        <w:ind w:firstLine="708"/>
        <w:jc w:val="both"/>
        <w:rPr>
          <w:b/>
          <w:sz w:val="24"/>
          <w:szCs w:val="24"/>
        </w:rPr>
      </w:pPr>
      <w:r w:rsidRPr="005F3CD6">
        <w:rPr>
          <w:sz w:val="24"/>
          <w:szCs w:val="24"/>
        </w:rPr>
        <w:t>Расходная часть районного бюджета сформирована за счет поступлений налоговых и неналоговых  доходов и финансовой помощи из областн</w:t>
      </w:r>
      <w:bookmarkStart w:id="0" w:name="_GoBack"/>
      <w:bookmarkEnd w:id="0"/>
      <w:r w:rsidRPr="005F3CD6">
        <w:rPr>
          <w:sz w:val="24"/>
          <w:szCs w:val="24"/>
        </w:rPr>
        <w:t xml:space="preserve">ого бюджета и составила  </w:t>
      </w:r>
      <w:r w:rsidR="00B47CDB">
        <w:rPr>
          <w:b/>
          <w:sz w:val="24"/>
          <w:szCs w:val="24"/>
        </w:rPr>
        <w:t>124107,5</w:t>
      </w:r>
      <w:r w:rsidRPr="005F3CD6">
        <w:rPr>
          <w:b/>
          <w:sz w:val="24"/>
          <w:szCs w:val="24"/>
        </w:rPr>
        <w:t xml:space="preserve"> тыс. руб</w:t>
      </w:r>
      <w:r w:rsidRPr="005F3CD6">
        <w:rPr>
          <w:sz w:val="24"/>
          <w:szCs w:val="24"/>
        </w:rPr>
        <w:t xml:space="preserve">. </w:t>
      </w:r>
      <w:r w:rsidRPr="005F3CD6">
        <w:rPr>
          <w:b/>
          <w:sz w:val="24"/>
          <w:szCs w:val="24"/>
        </w:rPr>
        <w:t>Сн</w:t>
      </w:r>
      <w:r w:rsidR="00C920E2">
        <w:rPr>
          <w:b/>
          <w:sz w:val="24"/>
          <w:szCs w:val="24"/>
        </w:rPr>
        <w:t xml:space="preserve">ижение  расходов к  бюджету 2014 года составляет  49515,0 тыс.руб. или на 28,5 </w:t>
      </w:r>
      <w:r w:rsidRPr="005F3CD6">
        <w:rPr>
          <w:b/>
          <w:sz w:val="24"/>
          <w:szCs w:val="24"/>
        </w:rPr>
        <w:t xml:space="preserve"> % и объясняется это тем,</w:t>
      </w:r>
      <w:r w:rsidR="00C920E2">
        <w:rPr>
          <w:b/>
          <w:sz w:val="24"/>
          <w:szCs w:val="24"/>
        </w:rPr>
        <w:t xml:space="preserve"> что расходы на планируемый 2015</w:t>
      </w:r>
      <w:r w:rsidRPr="005F3CD6">
        <w:rPr>
          <w:b/>
          <w:sz w:val="24"/>
          <w:szCs w:val="24"/>
        </w:rPr>
        <w:t xml:space="preserve"> год учтены не в полном объеме, в связи с о</w:t>
      </w:r>
      <w:r w:rsidR="00C920E2">
        <w:rPr>
          <w:b/>
          <w:sz w:val="24"/>
          <w:szCs w:val="24"/>
        </w:rPr>
        <w:t xml:space="preserve">граничением финансовых ресурсов, соответственно это говорит о том, что бюджет района </w:t>
      </w:r>
      <w:r w:rsidR="00C920E2" w:rsidRPr="00C920E2">
        <w:rPr>
          <w:b/>
          <w:sz w:val="24"/>
          <w:szCs w:val="24"/>
        </w:rPr>
        <w:t>не соответствует принципу общего(совокупного)покрытия расходов бюджета, что определяется ст.35 Бюджетного Кодекса Российской Федерации.</w:t>
      </w:r>
    </w:p>
    <w:p w:rsidR="005F3CD6" w:rsidRPr="005F3CD6" w:rsidRDefault="005F3CD6" w:rsidP="006A20B7">
      <w:pPr>
        <w:ind w:firstLine="708"/>
        <w:jc w:val="both"/>
        <w:rPr>
          <w:b/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</w:rPr>
      </w:pPr>
      <w:r w:rsidRPr="005F3CD6">
        <w:rPr>
          <w:b/>
          <w:sz w:val="24"/>
          <w:szCs w:val="24"/>
        </w:rPr>
        <w:t>Верхний предел муниципального долга  по состоянию на 01.01.2015</w:t>
      </w:r>
      <w:r w:rsidR="00C920E2">
        <w:rPr>
          <w:b/>
          <w:sz w:val="24"/>
          <w:szCs w:val="24"/>
        </w:rPr>
        <w:t xml:space="preserve"> года  установлен в сумме 8844,7 </w:t>
      </w:r>
      <w:r w:rsidRPr="005F3CD6">
        <w:rPr>
          <w:b/>
          <w:sz w:val="24"/>
          <w:szCs w:val="24"/>
        </w:rPr>
        <w:t xml:space="preserve"> тыс.руб., что соответствует  п.3 ст.107 Бюджетного кодекса РФ. 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lastRenderedPageBreak/>
        <w:t xml:space="preserve">     </w:t>
      </w: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01 «Общегосударственные вопросы»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 По данному разделу предусмотрены </w:t>
      </w:r>
      <w:r w:rsidRPr="005F3CD6">
        <w:rPr>
          <w:sz w:val="24"/>
          <w:szCs w:val="24"/>
          <w:u w:val="single"/>
        </w:rPr>
        <w:t xml:space="preserve">расходы на содержание органов государственной власти и местного самоуправления </w:t>
      </w:r>
      <w:r w:rsidR="003F71CD">
        <w:rPr>
          <w:sz w:val="24"/>
          <w:szCs w:val="24"/>
        </w:rPr>
        <w:t>в сумме  11648,9 тыс. руб., 9,4</w:t>
      </w:r>
      <w:r w:rsidRPr="005F3CD6">
        <w:rPr>
          <w:sz w:val="24"/>
          <w:szCs w:val="24"/>
        </w:rPr>
        <w:t xml:space="preserve"> % общего объема расходов районного бюджета. Ра</w:t>
      </w:r>
      <w:r w:rsidR="003F71CD">
        <w:rPr>
          <w:sz w:val="24"/>
          <w:szCs w:val="24"/>
        </w:rPr>
        <w:t>сходы по данному разделу на 2016 и 2017</w:t>
      </w:r>
      <w:r w:rsidRPr="005F3CD6">
        <w:rPr>
          <w:sz w:val="24"/>
          <w:szCs w:val="24"/>
        </w:rPr>
        <w:t xml:space="preserve"> го</w:t>
      </w:r>
      <w:r w:rsidR="003F71CD">
        <w:rPr>
          <w:sz w:val="24"/>
          <w:szCs w:val="24"/>
        </w:rPr>
        <w:t>ды запланированы в сумме 11747,2 тыс. руб. и 11647,7</w:t>
      </w:r>
      <w:r w:rsidRPr="005F3CD6">
        <w:rPr>
          <w:sz w:val="24"/>
          <w:szCs w:val="24"/>
        </w:rPr>
        <w:t xml:space="preserve"> тыс.руб. соответственно. 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b/>
          <w:sz w:val="24"/>
          <w:szCs w:val="24"/>
        </w:rPr>
        <w:t>Планир</w:t>
      </w:r>
      <w:r w:rsidR="003F71CD">
        <w:rPr>
          <w:b/>
          <w:sz w:val="24"/>
          <w:szCs w:val="24"/>
        </w:rPr>
        <w:t>уется  снижение  расходов  на  1912,6</w:t>
      </w:r>
      <w:r w:rsidR="0010400B">
        <w:rPr>
          <w:b/>
          <w:sz w:val="24"/>
          <w:szCs w:val="24"/>
        </w:rPr>
        <w:t xml:space="preserve">  тыс.руб. или 14,1</w:t>
      </w:r>
      <w:r w:rsidRPr="005F3CD6">
        <w:rPr>
          <w:b/>
          <w:sz w:val="24"/>
          <w:szCs w:val="24"/>
        </w:rPr>
        <w:t xml:space="preserve"> </w:t>
      </w:r>
      <w:r w:rsidR="003F71CD">
        <w:rPr>
          <w:b/>
          <w:sz w:val="24"/>
          <w:szCs w:val="24"/>
        </w:rPr>
        <w:t>%  к утвержденному  бюджету 2014</w:t>
      </w:r>
      <w:r w:rsidRPr="005F3CD6">
        <w:rPr>
          <w:b/>
          <w:sz w:val="24"/>
          <w:szCs w:val="24"/>
        </w:rPr>
        <w:t xml:space="preserve"> года,</w:t>
      </w:r>
      <w:r w:rsidRPr="005F3CD6">
        <w:rPr>
          <w:sz w:val="24"/>
          <w:szCs w:val="24"/>
        </w:rPr>
        <w:t xml:space="preserve"> в том числе  планируются  за счет субвенций из областного бюджета </w:t>
      </w:r>
      <w:r w:rsidRPr="005F3CD6">
        <w:rPr>
          <w:sz w:val="24"/>
          <w:szCs w:val="24"/>
          <w:u w:val="single"/>
        </w:rPr>
        <w:t>расходы на осуществление государственных полномочий по формированию и организации деятельности комиссий по делам несовершеннолетних и защите их прав</w:t>
      </w:r>
      <w:r w:rsidR="0010400B">
        <w:rPr>
          <w:sz w:val="24"/>
          <w:szCs w:val="24"/>
        </w:rPr>
        <w:t xml:space="preserve"> – 260,8</w:t>
      </w:r>
      <w:r w:rsidRPr="005F3CD6">
        <w:rPr>
          <w:sz w:val="24"/>
          <w:szCs w:val="24"/>
        </w:rPr>
        <w:t xml:space="preserve"> тыс. руб., </w:t>
      </w:r>
      <w:r w:rsidRPr="005F3CD6">
        <w:rPr>
          <w:sz w:val="24"/>
          <w:szCs w:val="24"/>
          <w:u w:val="single"/>
        </w:rPr>
        <w:t>административной комиссии</w:t>
      </w:r>
      <w:r w:rsidR="0010400B">
        <w:rPr>
          <w:sz w:val="24"/>
          <w:szCs w:val="24"/>
        </w:rPr>
        <w:t xml:space="preserve"> – 227,6</w:t>
      </w:r>
      <w:r w:rsidRPr="005F3CD6">
        <w:rPr>
          <w:sz w:val="24"/>
          <w:szCs w:val="24"/>
        </w:rPr>
        <w:t xml:space="preserve">тыс. руб., </w:t>
      </w:r>
      <w:r w:rsidRPr="005F3CD6">
        <w:rPr>
          <w:sz w:val="24"/>
          <w:szCs w:val="24"/>
          <w:u w:val="single"/>
        </w:rPr>
        <w:t>выполнение полномочий в сфере трудовых отношений</w:t>
      </w:r>
      <w:r w:rsidR="0010400B">
        <w:rPr>
          <w:sz w:val="24"/>
          <w:szCs w:val="24"/>
        </w:rPr>
        <w:t xml:space="preserve"> – 227,3</w:t>
      </w:r>
      <w:r w:rsidRPr="005F3CD6">
        <w:rPr>
          <w:sz w:val="24"/>
          <w:szCs w:val="24"/>
        </w:rPr>
        <w:t xml:space="preserve"> тыс. руб.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Расходы на содержание  высшего должностного </w:t>
      </w:r>
      <w:r w:rsidR="0010400B">
        <w:rPr>
          <w:sz w:val="24"/>
          <w:szCs w:val="24"/>
        </w:rPr>
        <w:t>лица предусмотрены в сумме 713,2</w:t>
      </w:r>
      <w:r w:rsidRPr="005F3CD6">
        <w:rPr>
          <w:sz w:val="24"/>
          <w:szCs w:val="24"/>
        </w:rPr>
        <w:t xml:space="preserve"> тыс.руб. что ниже расходов 2</w:t>
      </w:r>
      <w:r w:rsidR="0010400B">
        <w:rPr>
          <w:sz w:val="24"/>
          <w:szCs w:val="24"/>
        </w:rPr>
        <w:t>014 на 298,2 тыс.руб. или на 29,5</w:t>
      </w:r>
      <w:r w:rsidRPr="005F3CD6">
        <w:rPr>
          <w:sz w:val="24"/>
          <w:szCs w:val="24"/>
        </w:rPr>
        <w:t>%.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На содержание аппарата администрации Новосильского района в Проекте бюджета пр</w:t>
      </w:r>
      <w:r w:rsidR="0010400B">
        <w:rPr>
          <w:sz w:val="24"/>
          <w:szCs w:val="24"/>
        </w:rPr>
        <w:t xml:space="preserve">едложены расходы в сумме 6349,0 </w:t>
      </w:r>
      <w:r w:rsidRPr="005F3CD6">
        <w:rPr>
          <w:sz w:val="24"/>
          <w:szCs w:val="24"/>
        </w:rPr>
        <w:t xml:space="preserve">тыс.руб. что ниже </w:t>
      </w:r>
      <w:r w:rsidR="0010400B">
        <w:rPr>
          <w:sz w:val="24"/>
          <w:szCs w:val="24"/>
        </w:rPr>
        <w:t>расходов текущего года на 1475,9 тыс.руб. или на 18,9</w:t>
      </w:r>
      <w:r w:rsidRPr="005F3CD6">
        <w:rPr>
          <w:sz w:val="24"/>
          <w:szCs w:val="24"/>
        </w:rPr>
        <w:t>%.</w:t>
      </w:r>
    </w:p>
    <w:p w:rsidR="00D9331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Обеспечение деятельности финансовых органов, включая расходы контрольного органа- Ревизионной комиссии Новосильского райо</w:t>
      </w:r>
      <w:r w:rsidR="0010400B">
        <w:rPr>
          <w:sz w:val="24"/>
          <w:szCs w:val="24"/>
        </w:rPr>
        <w:t>на предусмотрены в сумме  2239,1</w:t>
      </w:r>
      <w:r w:rsidRPr="005F3CD6">
        <w:rPr>
          <w:sz w:val="24"/>
          <w:szCs w:val="24"/>
        </w:rPr>
        <w:t xml:space="preserve"> тыс.руб</w:t>
      </w:r>
      <w:r w:rsidR="00D93316">
        <w:rPr>
          <w:sz w:val="24"/>
          <w:szCs w:val="24"/>
        </w:rPr>
        <w:t>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В соответствии ст.81 Бюджетного Кодекса Российской Федерации в Проекте бюджета  по раздеру 01 статья 11 предусмотрен резервный фонд администрации Новосильского района  в сумме 100,0 тыс.руб.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02 «Мобилизационная и вневойсковая подготовка»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 По данному разделу предусмотрены расходы на осуществление первичного воинского учета на территориях, где отсутствуют во</w:t>
      </w:r>
      <w:r w:rsidR="00D93316">
        <w:rPr>
          <w:sz w:val="24"/>
          <w:szCs w:val="24"/>
        </w:rPr>
        <w:t>енные комиссариаты в сумме 289,1</w:t>
      </w:r>
      <w:r w:rsidRPr="005F3CD6">
        <w:rPr>
          <w:sz w:val="24"/>
          <w:szCs w:val="24"/>
        </w:rPr>
        <w:t xml:space="preserve"> тыс. руб.,  это 0,2 %  от общего объема рай</w:t>
      </w:r>
      <w:r w:rsidR="00D93316">
        <w:rPr>
          <w:sz w:val="24"/>
          <w:szCs w:val="24"/>
        </w:rPr>
        <w:t>онного бюджета. Расходы  на 2016 и 2017</w:t>
      </w:r>
      <w:r w:rsidRPr="005F3CD6">
        <w:rPr>
          <w:sz w:val="24"/>
          <w:szCs w:val="24"/>
        </w:rPr>
        <w:t xml:space="preserve"> </w:t>
      </w:r>
      <w:r w:rsidR="00D93316">
        <w:rPr>
          <w:sz w:val="24"/>
          <w:szCs w:val="24"/>
        </w:rPr>
        <w:t>годы запланированы в сумме 292,7</w:t>
      </w:r>
      <w:r w:rsidRPr="005F3CD6">
        <w:rPr>
          <w:sz w:val="24"/>
          <w:szCs w:val="24"/>
        </w:rPr>
        <w:t xml:space="preserve"> тыс. ру</w:t>
      </w:r>
      <w:r w:rsidR="00D93316">
        <w:rPr>
          <w:sz w:val="24"/>
          <w:szCs w:val="24"/>
        </w:rPr>
        <w:t>б. и  279,7</w:t>
      </w:r>
      <w:r w:rsidRPr="005F3CD6">
        <w:rPr>
          <w:sz w:val="24"/>
          <w:szCs w:val="24"/>
        </w:rPr>
        <w:t xml:space="preserve"> тыс.руб. соответственно. </w:t>
      </w:r>
    </w:p>
    <w:p w:rsidR="005F3CD6" w:rsidRPr="005F3CD6" w:rsidRDefault="005F3CD6" w:rsidP="005F3CD6">
      <w:pPr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sz w:val="24"/>
          <w:szCs w:val="24"/>
        </w:rPr>
        <w:t> </w:t>
      </w:r>
      <w:r w:rsidRPr="005F3CD6">
        <w:rPr>
          <w:b/>
          <w:sz w:val="24"/>
          <w:szCs w:val="24"/>
          <w:u w:val="single"/>
        </w:rPr>
        <w:t>Раздел 03 «Национальная безопасность и правоохранительная деятельность»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По данному разделу преду</w:t>
      </w:r>
      <w:r w:rsidR="00D93316">
        <w:rPr>
          <w:sz w:val="24"/>
          <w:szCs w:val="24"/>
        </w:rPr>
        <w:t>смотрены расходы в  объеме 470,5  тыс. руб., 0,4</w:t>
      </w:r>
      <w:r w:rsidRPr="005F3CD6">
        <w:rPr>
          <w:sz w:val="24"/>
          <w:szCs w:val="24"/>
        </w:rPr>
        <w:t>%  от общего объема расходов районного бюджета,  на содержание единой диспетчерской службы администрации района и на мероприятия по предупреждению и ликвидации чрезвычайных ситуаций</w:t>
      </w:r>
      <w:r w:rsidRPr="005F3CD6">
        <w:rPr>
          <w:b/>
          <w:sz w:val="24"/>
          <w:szCs w:val="24"/>
        </w:rPr>
        <w:t xml:space="preserve">. </w:t>
      </w:r>
      <w:r w:rsidR="00D93316">
        <w:rPr>
          <w:sz w:val="24"/>
          <w:szCs w:val="24"/>
        </w:rPr>
        <w:t>Расходы на 2016 и 2017 годы запланированы в сумме 470,5 тыс. руб. и 470,5</w:t>
      </w:r>
      <w:r w:rsidRPr="005F3CD6">
        <w:rPr>
          <w:sz w:val="24"/>
          <w:szCs w:val="24"/>
        </w:rPr>
        <w:t xml:space="preserve"> тыс.руб. соответственно. 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04 «Национальная экономика»</w:t>
      </w:r>
    </w:p>
    <w:p w:rsidR="005F3CD6" w:rsidRPr="005F3CD6" w:rsidRDefault="005F3CD6" w:rsidP="00B014CA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 По данному разделу предусмотрены расходы на содержание отдела сельского хозяйства адм</w:t>
      </w:r>
      <w:r w:rsidR="00D93316">
        <w:rPr>
          <w:sz w:val="24"/>
          <w:szCs w:val="24"/>
        </w:rPr>
        <w:t>инистрации района в сумме 798,7</w:t>
      </w:r>
      <w:r w:rsidR="00B014CA">
        <w:rPr>
          <w:sz w:val="24"/>
          <w:szCs w:val="24"/>
        </w:rPr>
        <w:t xml:space="preserve"> тыс.руб.что составляет 16,5</w:t>
      </w:r>
      <w:r w:rsidRPr="005F3CD6">
        <w:rPr>
          <w:sz w:val="24"/>
          <w:szCs w:val="24"/>
        </w:rPr>
        <w:t xml:space="preserve"> % расходов по данному разделу. Также запланированы расходы   на  проведение семинаров и совещаний по сельскому хозяйству и фин</w:t>
      </w:r>
      <w:r w:rsidR="00B014CA">
        <w:rPr>
          <w:sz w:val="24"/>
          <w:szCs w:val="24"/>
        </w:rPr>
        <w:t>ансирование  муниципальных.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b/>
          <w:sz w:val="24"/>
          <w:szCs w:val="24"/>
        </w:rPr>
        <w:t>По разделу планируется сни</w:t>
      </w:r>
      <w:r w:rsidR="00B014CA">
        <w:rPr>
          <w:b/>
          <w:sz w:val="24"/>
          <w:szCs w:val="24"/>
        </w:rPr>
        <w:t xml:space="preserve">жение  расходов  к бюджету  2014г. на  23539,2 тыс. руб. или </w:t>
      </w:r>
      <w:r w:rsidRPr="005F3CD6">
        <w:rPr>
          <w:b/>
          <w:sz w:val="24"/>
          <w:szCs w:val="24"/>
        </w:rPr>
        <w:t xml:space="preserve"> %.</w:t>
      </w:r>
      <w:r w:rsidR="00B014CA">
        <w:rPr>
          <w:b/>
          <w:sz w:val="24"/>
          <w:szCs w:val="24"/>
        </w:rPr>
        <w:t xml:space="preserve">Непосредственное влияние на объем  расходов по данному разделу оказывают выделяемые суммы софинансирования районных муниципальных программ  из бюджетов других уровней   </w:t>
      </w:r>
      <w:r w:rsidRPr="005F3CD6">
        <w:rPr>
          <w:sz w:val="24"/>
          <w:szCs w:val="24"/>
        </w:rPr>
        <w:t xml:space="preserve"> Расходы по д</w:t>
      </w:r>
      <w:r w:rsidR="00B014CA">
        <w:rPr>
          <w:sz w:val="24"/>
          <w:szCs w:val="24"/>
        </w:rPr>
        <w:t>анному разделу на 2016 и 2017</w:t>
      </w:r>
      <w:r w:rsidRPr="005F3CD6">
        <w:rPr>
          <w:sz w:val="24"/>
          <w:szCs w:val="24"/>
        </w:rPr>
        <w:t xml:space="preserve"> го</w:t>
      </w:r>
      <w:r w:rsidR="00B014CA">
        <w:rPr>
          <w:sz w:val="24"/>
          <w:szCs w:val="24"/>
        </w:rPr>
        <w:t>ды запланированы в сумме  5020,4 тыс. руб. и 5099,0</w:t>
      </w:r>
      <w:r w:rsidRPr="005F3CD6">
        <w:rPr>
          <w:sz w:val="24"/>
          <w:szCs w:val="24"/>
        </w:rPr>
        <w:t xml:space="preserve">  тыс.руб. соответственно. 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 Раздел 05 «Жилищно-коммунальное хозяйство»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По данному разделу предусмотрены расходы на  мероприятия в области коммунального хозяйства и исполнение муницип</w:t>
      </w:r>
      <w:r w:rsidR="00225DD9">
        <w:rPr>
          <w:sz w:val="24"/>
          <w:szCs w:val="24"/>
        </w:rPr>
        <w:t>альных программ  в сумме  2465,0 тыс. руб., 2,0</w:t>
      </w:r>
      <w:r w:rsidRPr="005F3CD6">
        <w:rPr>
          <w:sz w:val="24"/>
          <w:szCs w:val="24"/>
        </w:rPr>
        <w:t xml:space="preserve">   % общего объема расходов планируемого  районного бюджета. Запланированы расходы на реализацию таких муниципальных программ как: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lastRenderedPageBreak/>
        <w:t>-«Обеспечение условий формирования комфортной среды проживания в Новосильском районе»-200,0 тыс.руб.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-« Устойчивое развитие сель</w:t>
      </w:r>
      <w:r w:rsidR="00225DD9">
        <w:rPr>
          <w:sz w:val="24"/>
          <w:szCs w:val="24"/>
        </w:rPr>
        <w:t>ских территорий» в сумме   1125,0</w:t>
      </w:r>
      <w:r w:rsidRPr="005F3CD6">
        <w:rPr>
          <w:sz w:val="24"/>
          <w:szCs w:val="24"/>
        </w:rPr>
        <w:t xml:space="preserve"> тыс. руб.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b/>
          <w:sz w:val="24"/>
          <w:szCs w:val="24"/>
        </w:rPr>
        <w:t>По разделу планируется сни</w:t>
      </w:r>
      <w:r w:rsidR="00B842EC">
        <w:rPr>
          <w:b/>
          <w:sz w:val="24"/>
          <w:szCs w:val="24"/>
        </w:rPr>
        <w:t>жение  расходов  к бюджету  2014г. на  8915,9  тыс. руб. или 78,3</w:t>
      </w:r>
      <w:r w:rsidRPr="005F3CD6">
        <w:rPr>
          <w:b/>
          <w:sz w:val="24"/>
          <w:szCs w:val="24"/>
        </w:rPr>
        <w:t xml:space="preserve"> %.</w:t>
      </w:r>
      <w:r w:rsidR="00B842EC">
        <w:rPr>
          <w:sz w:val="24"/>
          <w:szCs w:val="24"/>
        </w:rPr>
        <w:t xml:space="preserve"> Расходы  на 2016 и 2017</w:t>
      </w:r>
      <w:r w:rsidRPr="005F3CD6">
        <w:rPr>
          <w:sz w:val="24"/>
          <w:szCs w:val="24"/>
        </w:rPr>
        <w:t xml:space="preserve"> </w:t>
      </w:r>
      <w:r w:rsidR="00B842EC">
        <w:rPr>
          <w:sz w:val="24"/>
          <w:szCs w:val="24"/>
        </w:rPr>
        <w:t>годы запланированы в сумме 2000,0 тыс. руб. и 1849,7</w:t>
      </w:r>
      <w:r w:rsidRPr="005F3CD6">
        <w:rPr>
          <w:sz w:val="24"/>
          <w:szCs w:val="24"/>
        </w:rPr>
        <w:t xml:space="preserve">  тыс.руб. соответственно. 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 xml:space="preserve">Раздел 06 « Охрана окружающей среды» </w:t>
      </w:r>
    </w:p>
    <w:p w:rsidR="005F3CD6" w:rsidRDefault="00B842EC" w:rsidP="005F3CD6">
      <w:pPr>
        <w:rPr>
          <w:sz w:val="24"/>
          <w:szCs w:val="24"/>
        </w:rPr>
      </w:pPr>
      <w:r>
        <w:rPr>
          <w:sz w:val="24"/>
          <w:szCs w:val="24"/>
        </w:rPr>
        <w:t xml:space="preserve">По данному разделу </w:t>
      </w:r>
      <w:r w:rsidR="005F3CD6" w:rsidRPr="005F3CD6">
        <w:rPr>
          <w:sz w:val="24"/>
          <w:szCs w:val="24"/>
        </w:rPr>
        <w:t xml:space="preserve"> финансирование</w:t>
      </w:r>
      <w:r>
        <w:rPr>
          <w:sz w:val="24"/>
          <w:szCs w:val="24"/>
        </w:rPr>
        <w:t xml:space="preserve"> не предусмотрено.</w:t>
      </w:r>
      <w:r w:rsidR="005F3CD6" w:rsidRPr="005F3CD6">
        <w:rPr>
          <w:sz w:val="24"/>
          <w:szCs w:val="24"/>
        </w:rPr>
        <w:t xml:space="preserve"> </w:t>
      </w:r>
    </w:p>
    <w:p w:rsidR="00B842EC" w:rsidRPr="005F3CD6" w:rsidRDefault="00B842EC" w:rsidP="005F3CD6">
      <w:pPr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sz w:val="24"/>
          <w:szCs w:val="24"/>
        </w:rPr>
        <w:t>  </w:t>
      </w:r>
      <w:r w:rsidRPr="005F3CD6">
        <w:rPr>
          <w:b/>
          <w:sz w:val="24"/>
          <w:szCs w:val="24"/>
          <w:u w:val="single"/>
        </w:rPr>
        <w:t>Раздел 07 «Образование»</w:t>
      </w:r>
    </w:p>
    <w:p w:rsidR="005F3CD6" w:rsidRPr="005F3CD6" w:rsidRDefault="005F3CD6" w:rsidP="005F3CD6">
      <w:pPr>
        <w:jc w:val="both"/>
        <w:rPr>
          <w:b/>
          <w:sz w:val="24"/>
          <w:szCs w:val="24"/>
        </w:rPr>
      </w:pPr>
      <w:r w:rsidRPr="005F3CD6">
        <w:rPr>
          <w:sz w:val="24"/>
          <w:szCs w:val="24"/>
        </w:rPr>
        <w:t>Объем  финансирования  учреждений  об</w:t>
      </w:r>
      <w:r w:rsidR="00B842EC">
        <w:rPr>
          <w:sz w:val="24"/>
          <w:szCs w:val="24"/>
        </w:rPr>
        <w:t>разования  запланирован  на 2015 год в сумме   79570,1  тыс. руб., 64,1</w:t>
      </w:r>
      <w:r w:rsidRPr="005F3CD6">
        <w:rPr>
          <w:sz w:val="24"/>
          <w:szCs w:val="24"/>
        </w:rPr>
        <w:t xml:space="preserve"> % общего объема расходов районного бюджета. </w:t>
      </w:r>
      <w:r w:rsidRPr="005F3CD6">
        <w:rPr>
          <w:b/>
          <w:sz w:val="24"/>
          <w:szCs w:val="24"/>
        </w:rPr>
        <w:t>В разделе предусмотрены расходы на обеспечение деятельности образовательных учреждений со снижением</w:t>
      </w:r>
      <w:r w:rsidR="00B842EC">
        <w:rPr>
          <w:b/>
          <w:sz w:val="24"/>
          <w:szCs w:val="24"/>
        </w:rPr>
        <w:t xml:space="preserve">  расходов  к бюджету 2014г. на 2193,5 тыс.руб. или 2,7 </w:t>
      </w:r>
      <w:r w:rsidRPr="005F3CD6">
        <w:rPr>
          <w:b/>
          <w:sz w:val="24"/>
          <w:szCs w:val="24"/>
        </w:rPr>
        <w:t xml:space="preserve"> %.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За счет средств субвен</w:t>
      </w:r>
      <w:r w:rsidR="00B842EC">
        <w:rPr>
          <w:sz w:val="24"/>
          <w:szCs w:val="24"/>
        </w:rPr>
        <w:t>ций из областного бюджета в 2015</w:t>
      </w:r>
      <w:r w:rsidRPr="005F3CD6">
        <w:rPr>
          <w:sz w:val="24"/>
          <w:szCs w:val="24"/>
        </w:rPr>
        <w:t xml:space="preserve"> году предусмотрены расходы: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на финансовое обеспечение образовательного процесса в учреждени</w:t>
      </w:r>
      <w:r w:rsidR="00B842EC">
        <w:rPr>
          <w:sz w:val="24"/>
          <w:szCs w:val="24"/>
        </w:rPr>
        <w:t>ях общего образования – 44656,6 тыс. руб. ( снижение    к расходам 2014 года на 17614,5</w:t>
      </w:r>
      <w:r w:rsidRPr="005F3CD6">
        <w:rPr>
          <w:sz w:val="24"/>
          <w:szCs w:val="24"/>
        </w:rPr>
        <w:t xml:space="preserve"> тыс.руб.);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на классное</w:t>
      </w:r>
      <w:r w:rsidR="00C657C3">
        <w:rPr>
          <w:sz w:val="24"/>
          <w:szCs w:val="24"/>
        </w:rPr>
        <w:t xml:space="preserve"> руководство – 1244,2 тыс. руб.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на мероприятия по организации оздор</w:t>
      </w:r>
      <w:r w:rsidR="00C657C3">
        <w:rPr>
          <w:sz w:val="24"/>
          <w:szCs w:val="24"/>
        </w:rPr>
        <w:t xml:space="preserve">овительной компании детей – 48,8 </w:t>
      </w:r>
      <w:r w:rsidRPr="005F3CD6">
        <w:rPr>
          <w:sz w:val="24"/>
          <w:szCs w:val="24"/>
        </w:rPr>
        <w:t>тыс. руб.</w:t>
      </w:r>
    </w:p>
    <w:p w:rsidR="00C657C3" w:rsidRDefault="00C657C3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F3CD6" w:rsidRPr="005F3CD6">
        <w:rPr>
          <w:sz w:val="24"/>
          <w:szCs w:val="24"/>
        </w:rPr>
        <w:t>на возмещение расходов на обеспечение питанием учащихся муниципальных общеобразовательных учреждений в размере 50% фак</w:t>
      </w:r>
      <w:r>
        <w:rPr>
          <w:sz w:val="24"/>
          <w:szCs w:val="24"/>
        </w:rPr>
        <w:t xml:space="preserve">тических затрат, но не более 20 </w:t>
      </w:r>
      <w:r w:rsidR="005F3CD6" w:rsidRPr="005F3CD6">
        <w:rPr>
          <w:sz w:val="24"/>
          <w:szCs w:val="24"/>
        </w:rPr>
        <w:t>руб</w:t>
      </w:r>
      <w:r>
        <w:rPr>
          <w:sz w:val="24"/>
          <w:szCs w:val="24"/>
        </w:rPr>
        <w:t xml:space="preserve">. на 1 учащегося в день – 2593,6 </w:t>
      </w:r>
      <w:r w:rsidR="005F3CD6" w:rsidRPr="005F3CD6">
        <w:rPr>
          <w:sz w:val="24"/>
          <w:szCs w:val="24"/>
        </w:rPr>
        <w:t xml:space="preserve"> тыс. руб.</w:t>
      </w:r>
    </w:p>
    <w:p w:rsidR="00E07F1F" w:rsidRDefault="00C657C3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предусматривающие за счет собственных средств районного бюджета запланированы на 2015 год в сумме </w:t>
      </w:r>
      <w:r w:rsidR="00E07F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07F1F">
        <w:rPr>
          <w:sz w:val="24"/>
          <w:szCs w:val="24"/>
        </w:rPr>
        <w:t>31074,2 тыс.руб.</w:t>
      </w:r>
      <w:r w:rsidR="00690E50">
        <w:rPr>
          <w:sz w:val="24"/>
          <w:szCs w:val="24"/>
        </w:rPr>
        <w:t xml:space="preserve"> </w:t>
      </w:r>
      <w:r w:rsidR="00E07F1F">
        <w:rPr>
          <w:sz w:val="24"/>
          <w:szCs w:val="24"/>
        </w:rPr>
        <w:t>В пояснительной записке представлена информация  о распределении данной суммы на предстоящий период 2015 год.</w:t>
      </w:r>
    </w:p>
    <w:p w:rsidR="005F3CD6" w:rsidRPr="005F3CD6" w:rsidRDefault="00E07F1F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Расходы  на 2016 и 2017</w:t>
      </w:r>
      <w:r w:rsidR="005F3CD6" w:rsidRPr="005F3CD6">
        <w:rPr>
          <w:sz w:val="24"/>
          <w:szCs w:val="24"/>
        </w:rPr>
        <w:t xml:space="preserve"> го</w:t>
      </w:r>
      <w:r>
        <w:rPr>
          <w:sz w:val="24"/>
          <w:szCs w:val="24"/>
        </w:rPr>
        <w:t>ды запланированы в сумме 64508,3</w:t>
      </w:r>
      <w:r w:rsidR="005F3CD6" w:rsidRPr="005F3CD6">
        <w:rPr>
          <w:sz w:val="24"/>
          <w:szCs w:val="24"/>
        </w:rPr>
        <w:t xml:space="preserve"> ты</w:t>
      </w:r>
      <w:r>
        <w:rPr>
          <w:sz w:val="24"/>
          <w:szCs w:val="24"/>
        </w:rPr>
        <w:t>с. руб. и 73624,3</w:t>
      </w:r>
      <w:r w:rsidR="005F3CD6" w:rsidRPr="005F3CD6">
        <w:rPr>
          <w:sz w:val="24"/>
          <w:szCs w:val="24"/>
        </w:rPr>
        <w:t xml:space="preserve">  тыс.руб. соответственно. 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08 «Культура и кинематография»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По данному разделу расходы опр</w:t>
      </w:r>
      <w:r w:rsidR="005358EA">
        <w:rPr>
          <w:sz w:val="24"/>
          <w:szCs w:val="24"/>
        </w:rPr>
        <w:t xml:space="preserve">еделены  расходы в сумме 11447,0 тыс. руб.,9,2 </w:t>
      </w:r>
      <w:r w:rsidRPr="005F3CD6">
        <w:rPr>
          <w:sz w:val="24"/>
          <w:szCs w:val="24"/>
        </w:rPr>
        <w:t xml:space="preserve"> % общего объема ра</w:t>
      </w:r>
      <w:r w:rsidR="005358EA">
        <w:rPr>
          <w:sz w:val="24"/>
          <w:szCs w:val="24"/>
        </w:rPr>
        <w:t>сходов районного бюджета на 2015</w:t>
      </w:r>
      <w:r w:rsidRPr="005F3CD6">
        <w:rPr>
          <w:sz w:val="24"/>
          <w:szCs w:val="24"/>
        </w:rPr>
        <w:t xml:space="preserve"> год, на  содержание муниципальных учреждени</w:t>
      </w:r>
      <w:r w:rsidR="00690E50">
        <w:rPr>
          <w:sz w:val="24"/>
          <w:szCs w:val="24"/>
        </w:rPr>
        <w:t>й культуры</w:t>
      </w:r>
      <w:r w:rsidRPr="005F3CD6">
        <w:rPr>
          <w:sz w:val="24"/>
          <w:szCs w:val="24"/>
        </w:rPr>
        <w:t>.</w:t>
      </w:r>
      <w:r w:rsidR="00690E50">
        <w:rPr>
          <w:sz w:val="24"/>
          <w:szCs w:val="24"/>
        </w:rPr>
        <w:t xml:space="preserve"> </w:t>
      </w:r>
      <w:r w:rsidRPr="005F3CD6">
        <w:rPr>
          <w:b/>
          <w:sz w:val="24"/>
          <w:szCs w:val="24"/>
        </w:rPr>
        <w:t>Сн</w:t>
      </w:r>
      <w:r w:rsidR="005358EA">
        <w:rPr>
          <w:b/>
          <w:sz w:val="24"/>
          <w:szCs w:val="24"/>
        </w:rPr>
        <w:t>ижение расходов  к  бюджету 2014 года на  4214,8   тыс.руб. или на 26,9</w:t>
      </w:r>
      <w:r w:rsidRPr="005F3CD6">
        <w:rPr>
          <w:b/>
          <w:sz w:val="24"/>
          <w:szCs w:val="24"/>
        </w:rPr>
        <w:t>%</w:t>
      </w:r>
      <w:r w:rsidRPr="005F3CD6">
        <w:rPr>
          <w:sz w:val="24"/>
          <w:szCs w:val="24"/>
        </w:rPr>
        <w:t>. Внутри раздела запланировано:</w:t>
      </w:r>
    </w:p>
    <w:p w:rsidR="00B561A2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 на содержание дворцов и домов культуры, дру</w:t>
      </w:r>
      <w:r w:rsidR="005358EA">
        <w:rPr>
          <w:sz w:val="24"/>
          <w:szCs w:val="24"/>
        </w:rPr>
        <w:t xml:space="preserve">гих учреждений культуры –5821,6 </w:t>
      </w:r>
      <w:r w:rsidRPr="005F3CD6">
        <w:rPr>
          <w:sz w:val="24"/>
          <w:szCs w:val="24"/>
        </w:rPr>
        <w:t xml:space="preserve"> т</w:t>
      </w:r>
      <w:r w:rsidR="005358EA">
        <w:rPr>
          <w:sz w:val="24"/>
          <w:szCs w:val="24"/>
        </w:rPr>
        <w:t>ыс.руб</w:t>
      </w:r>
      <w:r w:rsidR="00B561A2">
        <w:rPr>
          <w:sz w:val="24"/>
          <w:szCs w:val="24"/>
        </w:rPr>
        <w:t>.</w:t>
      </w:r>
    </w:p>
    <w:p w:rsidR="00B561A2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-на содержание музе</w:t>
      </w:r>
      <w:r w:rsidR="005358EA">
        <w:rPr>
          <w:sz w:val="24"/>
          <w:szCs w:val="24"/>
        </w:rPr>
        <w:t>ев и постоянных выставок- 1214,2</w:t>
      </w:r>
      <w:r w:rsidRPr="005F3CD6">
        <w:rPr>
          <w:sz w:val="24"/>
          <w:szCs w:val="24"/>
        </w:rPr>
        <w:t xml:space="preserve"> тыс.руб</w:t>
      </w:r>
      <w:r w:rsidR="00B561A2">
        <w:rPr>
          <w:sz w:val="24"/>
          <w:szCs w:val="24"/>
        </w:rPr>
        <w:t>.</w:t>
      </w:r>
    </w:p>
    <w:p w:rsidR="00B561A2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</w:t>
      </w:r>
      <w:r w:rsidR="005358EA">
        <w:rPr>
          <w:sz w:val="24"/>
          <w:szCs w:val="24"/>
        </w:rPr>
        <w:t>на содержание библиотек – 2293,1</w:t>
      </w:r>
      <w:r w:rsidRPr="005F3CD6">
        <w:rPr>
          <w:sz w:val="24"/>
          <w:szCs w:val="24"/>
        </w:rPr>
        <w:t xml:space="preserve"> тыс.руб</w:t>
      </w:r>
      <w:r w:rsidR="00B561A2">
        <w:rPr>
          <w:sz w:val="24"/>
          <w:szCs w:val="24"/>
        </w:rPr>
        <w:t>.</w:t>
      </w:r>
    </w:p>
    <w:p w:rsidR="005358EA" w:rsidRPr="005358EA" w:rsidRDefault="005358EA" w:rsidP="005F3CD6">
      <w:pPr>
        <w:jc w:val="both"/>
        <w:rPr>
          <w:color w:val="000000" w:themeColor="text1"/>
          <w:sz w:val="24"/>
          <w:szCs w:val="24"/>
        </w:rPr>
      </w:pPr>
      <w:r w:rsidRPr="005358EA">
        <w:rPr>
          <w:color w:val="000000" w:themeColor="text1"/>
          <w:sz w:val="24"/>
          <w:szCs w:val="24"/>
        </w:rPr>
        <w:t>- на содержание аппарата отдела культуры – 1528,1 тыс.руб.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В разделе предусмотрено финансирование ряд муниципальных программ, таких как: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-« Развитие системы комплекс</w:t>
      </w:r>
      <w:r w:rsidR="005358EA">
        <w:rPr>
          <w:sz w:val="24"/>
          <w:szCs w:val="24"/>
        </w:rPr>
        <w:t xml:space="preserve">ной безопасности»- в сумме 290,0 </w:t>
      </w:r>
      <w:r w:rsidRPr="005F3CD6">
        <w:rPr>
          <w:sz w:val="24"/>
          <w:szCs w:val="24"/>
        </w:rPr>
        <w:t xml:space="preserve"> тыс.руб.</w:t>
      </w:r>
    </w:p>
    <w:p w:rsidR="005F3CD6" w:rsidRPr="005F3CD6" w:rsidRDefault="005358EA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F3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«Развитие </w:t>
      </w:r>
      <w:r w:rsidR="005F3CD6" w:rsidRPr="005F3CD6">
        <w:rPr>
          <w:sz w:val="24"/>
          <w:szCs w:val="24"/>
        </w:rPr>
        <w:t xml:space="preserve">культуры и искусства, туризма, сохранение и реконструкция </w:t>
      </w:r>
      <w:r>
        <w:rPr>
          <w:sz w:val="24"/>
          <w:szCs w:val="24"/>
        </w:rPr>
        <w:t xml:space="preserve"> военно- мемориальных </w:t>
      </w:r>
      <w:r w:rsidR="005F3CD6" w:rsidRPr="005F3CD6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в Новосильском районе »- в сумме 300 </w:t>
      </w:r>
      <w:r w:rsidR="005F3CD6" w:rsidRPr="005F3CD6">
        <w:rPr>
          <w:sz w:val="24"/>
          <w:szCs w:val="24"/>
        </w:rPr>
        <w:t>,0  тыс.руб.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Расходы  по  08  разделу  на 2015 и 2016 го</w:t>
      </w:r>
      <w:r w:rsidR="005358EA">
        <w:rPr>
          <w:sz w:val="24"/>
          <w:szCs w:val="24"/>
        </w:rPr>
        <w:t>ды запланированы в сумме 10857,0 тыс. руб. и 10857,0</w:t>
      </w:r>
      <w:r w:rsidRPr="005F3CD6">
        <w:rPr>
          <w:sz w:val="24"/>
          <w:szCs w:val="24"/>
        </w:rPr>
        <w:t xml:space="preserve">  тыс.руб. соответственно.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09 «Здравоохранение»</w:t>
      </w:r>
    </w:p>
    <w:p w:rsidR="005F3CD6" w:rsidRPr="005F3CD6" w:rsidRDefault="005F3CD6" w:rsidP="005F3CD6">
      <w:pPr>
        <w:rPr>
          <w:sz w:val="24"/>
          <w:szCs w:val="24"/>
        </w:rPr>
      </w:pPr>
      <w:r w:rsidRPr="005F3CD6">
        <w:rPr>
          <w:sz w:val="24"/>
          <w:szCs w:val="24"/>
        </w:rPr>
        <w:t>По данном</w:t>
      </w:r>
      <w:r w:rsidR="00C657C3">
        <w:rPr>
          <w:sz w:val="24"/>
          <w:szCs w:val="24"/>
        </w:rPr>
        <w:t>у разделу  расходы на 2015</w:t>
      </w:r>
      <w:r w:rsidRPr="005F3CD6">
        <w:rPr>
          <w:sz w:val="24"/>
          <w:szCs w:val="24"/>
        </w:rPr>
        <w:t xml:space="preserve"> год не предусмотрены.</w:t>
      </w:r>
    </w:p>
    <w:p w:rsidR="005F3CD6" w:rsidRPr="005F3CD6" w:rsidRDefault="005F3CD6" w:rsidP="005F3CD6">
      <w:pPr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10 «Социальная политика»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lastRenderedPageBreak/>
        <w:t>По данному разделу заплан</w:t>
      </w:r>
      <w:r w:rsidR="00B561A2">
        <w:rPr>
          <w:sz w:val="24"/>
          <w:szCs w:val="24"/>
        </w:rPr>
        <w:t>ированы расходы  в сумме 10818,1</w:t>
      </w:r>
      <w:r w:rsidRPr="005F3CD6">
        <w:rPr>
          <w:sz w:val="24"/>
          <w:szCs w:val="24"/>
        </w:rPr>
        <w:t xml:space="preserve"> тыс. руб., 8,7 % от  общего объема расходов районного бюджета. </w:t>
      </w:r>
      <w:r w:rsidRPr="005F3CD6">
        <w:rPr>
          <w:b/>
          <w:sz w:val="24"/>
          <w:szCs w:val="24"/>
        </w:rPr>
        <w:t>Снижение расходов   к бюджету 201</w:t>
      </w:r>
      <w:r w:rsidR="00B561A2">
        <w:rPr>
          <w:b/>
          <w:sz w:val="24"/>
          <w:szCs w:val="24"/>
        </w:rPr>
        <w:t>4 года на 5271,1 тыс.руб. что составляет 32,8</w:t>
      </w:r>
      <w:r w:rsidRPr="005F3CD6">
        <w:rPr>
          <w:b/>
          <w:sz w:val="24"/>
          <w:szCs w:val="24"/>
        </w:rPr>
        <w:t>%.</w:t>
      </w:r>
      <w:r w:rsidRPr="005F3CD6">
        <w:rPr>
          <w:sz w:val="24"/>
          <w:szCs w:val="24"/>
        </w:rPr>
        <w:t xml:space="preserve"> За счет средств субвен</w:t>
      </w:r>
      <w:r w:rsidR="00B561A2">
        <w:rPr>
          <w:sz w:val="24"/>
          <w:szCs w:val="24"/>
        </w:rPr>
        <w:t>ций из областного бюджета в 2015</w:t>
      </w:r>
      <w:r w:rsidRPr="005F3CD6">
        <w:rPr>
          <w:sz w:val="24"/>
          <w:szCs w:val="24"/>
        </w:rPr>
        <w:t xml:space="preserve"> году пред</w:t>
      </w:r>
      <w:r w:rsidR="00B561A2">
        <w:rPr>
          <w:sz w:val="24"/>
          <w:szCs w:val="24"/>
        </w:rPr>
        <w:t>усмотрены расходы в сумме 9604,9</w:t>
      </w:r>
      <w:r w:rsidRPr="005F3CD6">
        <w:rPr>
          <w:sz w:val="24"/>
          <w:szCs w:val="24"/>
        </w:rPr>
        <w:t xml:space="preserve"> тыс.руб. Из них: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-на обеспечение выпускников муниципальных образовательных учреждений из числа детей сирот и детей, оставшихся без попечения родителей одеждой, обувью, мягким инвентарем – </w:t>
      </w:r>
      <w:r w:rsidR="00B561A2">
        <w:rPr>
          <w:b/>
          <w:sz w:val="24"/>
          <w:szCs w:val="24"/>
        </w:rPr>
        <w:t>10,8</w:t>
      </w:r>
      <w:r w:rsidRPr="005F3CD6">
        <w:rPr>
          <w:b/>
          <w:sz w:val="24"/>
          <w:szCs w:val="24"/>
        </w:rPr>
        <w:t xml:space="preserve"> тыс. руб</w:t>
      </w:r>
      <w:r w:rsidR="00B561A2">
        <w:rPr>
          <w:sz w:val="24"/>
          <w:szCs w:val="24"/>
        </w:rPr>
        <w:t>.</w:t>
      </w:r>
      <w:r w:rsidRPr="005F3CD6">
        <w:rPr>
          <w:sz w:val="24"/>
          <w:szCs w:val="24"/>
        </w:rPr>
        <w:t>;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на выполнение полномочий в сфере опеки и попечительства – </w:t>
      </w:r>
      <w:r w:rsidR="00B561A2">
        <w:rPr>
          <w:b/>
          <w:sz w:val="24"/>
          <w:szCs w:val="24"/>
        </w:rPr>
        <w:t>521,6</w:t>
      </w:r>
      <w:r w:rsidRPr="005F3CD6">
        <w:rPr>
          <w:b/>
          <w:sz w:val="24"/>
          <w:szCs w:val="24"/>
        </w:rPr>
        <w:t xml:space="preserve"> тыс. руб.</w:t>
      </w:r>
      <w:r w:rsidRPr="005F3CD6">
        <w:rPr>
          <w:sz w:val="24"/>
          <w:szCs w:val="24"/>
        </w:rPr>
        <w:t>;</w:t>
      </w:r>
    </w:p>
    <w:p w:rsidR="00B561A2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на выплату компенсации части родительской платы за содержание ребенка в государственных и муниципальных учреждениях, реализующих основную общеобразовательную программу дошкольного образования – </w:t>
      </w:r>
      <w:r w:rsidR="00B561A2">
        <w:rPr>
          <w:b/>
          <w:sz w:val="24"/>
          <w:szCs w:val="24"/>
        </w:rPr>
        <w:t xml:space="preserve">589,8 </w:t>
      </w:r>
      <w:r w:rsidRPr="005F3CD6">
        <w:rPr>
          <w:b/>
          <w:sz w:val="24"/>
          <w:szCs w:val="24"/>
        </w:rPr>
        <w:t>тыс. руб.</w:t>
      </w:r>
      <w:r w:rsidR="00B561A2">
        <w:rPr>
          <w:sz w:val="24"/>
          <w:szCs w:val="24"/>
        </w:rPr>
        <w:t>;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на содержание ребенка в семье опекуна и приемной семье, а также на оплату труда приемных родителей – </w:t>
      </w:r>
      <w:r w:rsidR="00B561A2">
        <w:rPr>
          <w:b/>
          <w:sz w:val="24"/>
          <w:szCs w:val="24"/>
        </w:rPr>
        <w:t>2754,4</w:t>
      </w:r>
      <w:r w:rsidRPr="005F3CD6">
        <w:rPr>
          <w:b/>
          <w:sz w:val="24"/>
          <w:szCs w:val="24"/>
        </w:rPr>
        <w:t xml:space="preserve"> тыс. руб.</w:t>
      </w:r>
      <w:r w:rsidRPr="005F3CD6">
        <w:rPr>
          <w:sz w:val="24"/>
          <w:szCs w:val="24"/>
        </w:rPr>
        <w:t>;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на единовременное пособие при усыновлении – </w:t>
      </w:r>
      <w:r w:rsidR="00B561A2">
        <w:rPr>
          <w:b/>
          <w:sz w:val="24"/>
          <w:szCs w:val="24"/>
        </w:rPr>
        <w:t>1</w:t>
      </w:r>
      <w:r w:rsidRPr="005F3CD6">
        <w:rPr>
          <w:b/>
          <w:sz w:val="24"/>
          <w:szCs w:val="24"/>
        </w:rPr>
        <w:t>0</w:t>
      </w:r>
      <w:r w:rsidR="00B561A2">
        <w:rPr>
          <w:b/>
          <w:sz w:val="24"/>
          <w:szCs w:val="24"/>
        </w:rPr>
        <w:t>0,0</w:t>
      </w:r>
      <w:r w:rsidRPr="005F3CD6">
        <w:rPr>
          <w:b/>
          <w:sz w:val="24"/>
          <w:szCs w:val="24"/>
        </w:rPr>
        <w:t xml:space="preserve"> тыс. руб.</w:t>
      </w:r>
      <w:r w:rsidRPr="005F3CD6">
        <w:rPr>
          <w:sz w:val="24"/>
          <w:szCs w:val="24"/>
        </w:rPr>
        <w:t>;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на единовременное пособие при всех формах устройства детей, лишенных родительского попечения, в семью – </w:t>
      </w:r>
      <w:r w:rsidR="00B561A2">
        <w:rPr>
          <w:b/>
          <w:sz w:val="24"/>
          <w:szCs w:val="24"/>
        </w:rPr>
        <w:t>87</w:t>
      </w:r>
      <w:r w:rsidRPr="005F3CD6">
        <w:rPr>
          <w:b/>
          <w:sz w:val="24"/>
          <w:szCs w:val="24"/>
        </w:rPr>
        <w:t>,0 тыс. руб.</w:t>
      </w:r>
      <w:r w:rsidRPr="005F3CD6">
        <w:rPr>
          <w:sz w:val="24"/>
          <w:szCs w:val="24"/>
        </w:rPr>
        <w:t>;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– </w:t>
      </w:r>
      <w:r w:rsidR="00B561A2">
        <w:rPr>
          <w:b/>
          <w:sz w:val="24"/>
          <w:szCs w:val="24"/>
        </w:rPr>
        <w:t xml:space="preserve">5512,5 </w:t>
      </w:r>
      <w:r w:rsidRPr="005F3CD6">
        <w:rPr>
          <w:b/>
          <w:sz w:val="24"/>
          <w:szCs w:val="24"/>
        </w:rPr>
        <w:t xml:space="preserve"> тыс. руб.</w:t>
      </w:r>
      <w:r w:rsidRPr="005F3CD6">
        <w:rPr>
          <w:sz w:val="24"/>
          <w:szCs w:val="24"/>
        </w:rPr>
        <w:t>;</w:t>
      </w:r>
    </w:p>
    <w:p w:rsid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- на обеспечение бесплатного проезда детей-сирот к месту учебы и обратно </w:t>
      </w:r>
      <w:r w:rsidR="00B561A2">
        <w:rPr>
          <w:sz w:val="24"/>
          <w:szCs w:val="24"/>
        </w:rPr>
        <w:t>–</w:t>
      </w:r>
      <w:r w:rsidRPr="005F3CD6">
        <w:rPr>
          <w:sz w:val="24"/>
          <w:szCs w:val="24"/>
        </w:rPr>
        <w:t xml:space="preserve"> </w:t>
      </w:r>
      <w:r w:rsidR="00B561A2">
        <w:rPr>
          <w:b/>
          <w:sz w:val="24"/>
          <w:szCs w:val="24"/>
        </w:rPr>
        <w:t>28,8</w:t>
      </w:r>
      <w:r w:rsidRPr="005F3CD6">
        <w:rPr>
          <w:b/>
          <w:sz w:val="24"/>
          <w:szCs w:val="24"/>
        </w:rPr>
        <w:t xml:space="preserve"> тыс. руб</w:t>
      </w:r>
      <w:r w:rsidR="00B561A2">
        <w:rPr>
          <w:sz w:val="24"/>
          <w:szCs w:val="24"/>
        </w:rPr>
        <w:t xml:space="preserve">. </w:t>
      </w:r>
    </w:p>
    <w:p w:rsidR="00B561A2" w:rsidRPr="005F3CD6" w:rsidRDefault="00B561A2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>За счет собственных доходов предусматриваются расходы в сумме 1213,3 тыс.руб.</w:t>
      </w:r>
    </w:p>
    <w:p w:rsidR="005F3CD6" w:rsidRPr="005F3CD6" w:rsidRDefault="00B561A2" w:rsidP="005F3CD6">
      <w:pPr>
        <w:rPr>
          <w:sz w:val="24"/>
          <w:szCs w:val="24"/>
        </w:rPr>
      </w:pPr>
      <w:r>
        <w:rPr>
          <w:sz w:val="24"/>
          <w:szCs w:val="24"/>
        </w:rPr>
        <w:t>Расходы  по 10 разделу  на 2016 и 2017</w:t>
      </w:r>
      <w:r w:rsidR="005F3CD6" w:rsidRPr="005F3CD6">
        <w:rPr>
          <w:sz w:val="24"/>
          <w:szCs w:val="24"/>
        </w:rPr>
        <w:t xml:space="preserve"> годы запланиро</w:t>
      </w:r>
      <w:r>
        <w:rPr>
          <w:sz w:val="24"/>
          <w:szCs w:val="24"/>
        </w:rPr>
        <w:t>ваны   в сумме 11492,2 тыс. руб. и  11550,1</w:t>
      </w:r>
      <w:r w:rsidR="005F3CD6" w:rsidRPr="005F3CD6">
        <w:rPr>
          <w:sz w:val="24"/>
          <w:szCs w:val="24"/>
        </w:rPr>
        <w:t xml:space="preserve">   тыс.руб. соответственно.</w:t>
      </w:r>
    </w:p>
    <w:p w:rsidR="005F3CD6" w:rsidRPr="005F3CD6" w:rsidRDefault="005F3CD6" w:rsidP="005F3CD6">
      <w:pPr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11 «Физическая культура и спорт»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По данному разделу запланированы расходы на мероприятия в области физическ</w:t>
      </w:r>
      <w:r w:rsidR="00C657C3">
        <w:rPr>
          <w:sz w:val="24"/>
          <w:szCs w:val="24"/>
        </w:rPr>
        <w:t>ой культуры и спорта в сумме 305</w:t>
      </w:r>
      <w:r w:rsidRPr="005F3CD6">
        <w:rPr>
          <w:sz w:val="24"/>
          <w:szCs w:val="24"/>
        </w:rPr>
        <w:t>,0 тыс. руб., 0,2% общего объема расходов районного бюджета.</w:t>
      </w:r>
    </w:p>
    <w:p w:rsidR="005F3CD6" w:rsidRPr="005F3CD6" w:rsidRDefault="005F3CD6" w:rsidP="005F3CD6">
      <w:pPr>
        <w:rPr>
          <w:sz w:val="24"/>
          <w:szCs w:val="24"/>
        </w:rPr>
      </w:pPr>
      <w:r w:rsidRPr="005F3CD6">
        <w:rPr>
          <w:sz w:val="24"/>
          <w:szCs w:val="24"/>
        </w:rPr>
        <w:t>По данному разделу расходы на 2015 и 2016 годы запланированы в таком же  объеме.</w:t>
      </w:r>
    </w:p>
    <w:p w:rsidR="005F3CD6" w:rsidRPr="005F3CD6" w:rsidRDefault="005F3CD6" w:rsidP="005F3CD6">
      <w:pPr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13 «Обслуживание государственного и муниципального долга»</w:t>
      </w:r>
    </w:p>
    <w:p w:rsidR="00C657C3" w:rsidRPr="005F3CD6" w:rsidRDefault="005F3CD6" w:rsidP="00C657C3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По</w:t>
      </w:r>
      <w:r w:rsidR="00C657C3">
        <w:rPr>
          <w:sz w:val="24"/>
          <w:szCs w:val="24"/>
        </w:rPr>
        <w:t xml:space="preserve"> данному разделу расходы на 2015</w:t>
      </w:r>
      <w:r w:rsidRPr="005F3CD6">
        <w:rPr>
          <w:sz w:val="24"/>
          <w:szCs w:val="24"/>
        </w:rPr>
        <w:t xml:space="preserve"> год </w:t>
      </w:r>
      <w:r w:rsidR="00C657C3">
        <w:rPr>
          <w:sz w:val="24"/>
          <w:szCs w:val="24"/>
        </w:rPr>
        <w:t xml:space="preserve"> запланировано в сумме 120,0 тыс.руб</w:t>
      </w:r>
      <w:r w:rsidRPr="005F3CD6">
        <w:rPr>
          <w:sz w:val="24"/>
          <w:szCs w:val="24"/>
        </w:rPr>
        <w:t xml:space="preserve"> не  определены.</w:t>
      </w:r>
      <w:r w:rsidR="00C657C3" w:rsidRPr="00C657C3">
        <w:rPr>
          <w:sz w:val="24"/>
          <w:szCs w:val="24"/>
        </w:rPr>
        <w:t xml:space="preserve"> </w:t>
      </w:r>
      <w:r w:rsidR="00C657C3">
        <w:rPr>
          <w:sz w:val="24"/>
          <w:szCs w:val="24"/>
        </w:rPr>
        <w:t xml:space="preserve">Расходы  по  13 разделу  на 2016 и 2017 </w:t>
      </w:r>
      <w:r w:rsidR="00C657C3" w:rsidRPr="005F3CD6">
        <w:rPr>
          <w:sz w:val="24"/>
          <w:szCs w:val="24"/>
        </w:rPr>
        <w:t xml:space="preserve"> год</w:t>
      </w:r>
      <w:r w:rsidR="00C657C3">
        <w:rPr>
          <w:sz w:val="24"/>
          <w:szCs w:val="24"/>
        </w:rPr>
        <w:t xml:space="preserve">ы запланированы в сумме 80,0 тыс. руб. и 40,0 </w:t>
      </w:r>
      <w:r w:rsidR="00C657C3" w:rsidRPr="005F3CD6">
        <w:rPr>
          <w:sz w:val="24"/>
          <w:szCs w:val="24"/>
        </w:rPr>
        <w:t xml:space="preserve"> тыс.руб. соответственно.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Раздел 14 «Межбюджетные трансферты».</w:t>
      </w: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</w:p>
    <w:p w:rsidR="006179A1" w:rsidRPr="005F3CD6" w:rsidRDefault="005F3CD6" w:rsidP="006179A1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По данному разделу </w:t>
      </w:r>
      <w:r w:rsidR="006179A1">
        <w:rPr>
          <w:sz w:val="24"/>
          <w:szCs w:val="24"/>
        </w:rPr>
        <w:t>отражены расходы  в сумме 2124,3 тыс. руб. (1,7</w:t>
      </w:r>
      <w:r w:rsidRPr="005F3CD6">
        <w:rPr>
          <w:sz w:val="24"/>
          <w:szCs w:val="24"/>
        </w:rPr>
        <w:t xml:space="preserve"> % общего объема расходов районного бюдже</w:t>
      </w:r>
      <w:r w:rsidR="006179A1">
        <w:rPr>
          <w:sz w:val="24"/>
          <w:szCs w:val="24"/>
        </w:rPr>
        <w:t>та)</w:t>
      </w:r>
      <w:r w:rsidRPr="005F3CD6">
        <w:rPr>
          <w:sz w:val="24"/>
          <w:szCs w:val="24"/>
        </w:rPr>
        <w:t xml:space="preserve"> в виде дотации на выравнивание бюджетной обеспеченности поселений района из регионального фонда финансов</w:t>
      </w:r>
      <w:r w:rsidR="006179A1">
        <w:rPr>
          <w:sz w:val="24"/>
          <w:szCs w:val="24"/>
        </w:rPr>
        <w:t>ой поддержки поселений  запланирована сумма.</w:t>
      </w:r>
      <w:r w:rsidR="006179A1" w:rsidRPr="006179A1">
        <w:rPr>
          <w:sz w:val="24"/>
          <w:szCs w:val="24"/>
        </w:rPr>
        <w:t xml:space="preserve"> </w:t>
      </w:r>
      <w:r w:rsidR="006179A1">
        <w:rPr>
          <w:sz w:val="24"/>
          <w:szCs w:val="24"/>
        </w:rPr>
        <w:t>Расходы  по  разделу  на 2016 и 2017</w:t>
      </w:r>
      <w:r w:rsidR="006179A1" w:rsidRPr="005F3CD6">
        <w:rPr>
          <w:sz w:val="24"/>
          <w:szCs w:val="24"/>
        </w:rPr>
        <w:t xml:space="preserve"> год</w:t>
      </w:r>
      <w:r w:rsidR="006179A1">
        <w:rPr>
          <w:sz w:val="24"/>
          <w:szCs w:val="24"/>
        </w:rPr>
        <w:t xml:space="preserve">ы запланированы в сумме 2124,3 тыс. руб. и 2124,3 </w:t>
      </w:r>
      <w:r w:rsidR="006179A1" w:rsidRPr="005F3CD6">
        <w:rPr>
          <w:sz w:val="24"/>
          <w:szCs w:val="24"/>
        </w:rPr>
        <w:t xml:space="preserve">  тыс.руб. соответственно.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spacing w:line="360" w:lineRule="auto"/>
        <w:ind w:firstLine="709"/>
        <w:jc w:val="both"/>
        <w:rPr>
          <w:b/>
          <w:snapToGrid w:val="0"/>
          <w:sz w:val="24"/>
          <w:szCs w:val="24"/>
        </w:rPr>
      </w:pPr>
      <w:r w:rsidRPr="005F3CD6">
        <w:rPr>
          <w:b/>
          <w:snapToGrid w:val="0"/>
          <w:sz w:val="24"/>
          <w:szCs w:val="24"/>
        </w:rPr>
        <w:t xml:space="preserve"> ДЕФИЦИТ (ПРОФИЦИТ) РАЙОННОГО БЮДЖЕТА</w:t>
      </w:r>
    </w:p>
    <w:p w:rsidR="005F3CD6" w:rsidRPr="005F3CD6" w:rsidRDefault="00A04271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>Дефицит бюджета на 2015</w:t>
      </w:r>
      <w:r w:rsidR="007818ED">
        <w:rPr>
          <w:sz w:val="24"/>
          <w:szCs w:val="24"/>
        </w:rPr>
        <w:t xml:space="preserve"> год предусмотрен в сумме 884,5</w:t>
      </w:r>
      <w:r w:rsidR="005F3CD6" w:rsidRPr="005F3CD6">
        <w:rPr>
          <w:sz w:val="24"/>
          <w:szCs w:val="24"/>
        </w:rPr>
        <w:t xml:space="preserve"> тыс. руб., что соответствует п.4.ст. 136 БК РФ. </w:t>
      </w:r>
    </w:p>
    <w:p w:rsidR="005F3CD6" w:rsidRPr="005F3CD6" w:rsidRDefault="007818ED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бюджета на </w:t>
      </w:r>
      <w:r w:rsidR="00A04271">
        <w:rPr>
          <w:sz w:val="24"/>
          <w:szCs w:val="24"/>
        </w:rPr>
        <w:t xml:space="preserve"> плановые</w:t>
      </w:r>
      <w:r>
        <w:rPr>
          <w:sz w:val="24"/>
          <w:szCs w:val="24"/>
        </w:rPr>
        <w:t xml:space="preserve"> периоды </w:t>
      </w:r>
      <w:r w:rsidR="00A04271">
        <w:rPr>
          <w:sz w:val="24"/>
          <w:szCs w:val="24"/>
        </w:rPr>
        <w:t xml:space="preserve"> 2016</w:t>
      </w:r>
      <w:r>
        <w:rPr>
          <w:sz w:val="24"/>
          <w:szCs w:val="24"/>
        </w:rPr>
        <w:t>-2017</w:t>
      </w:r>
      <w:r w:rsidR="005F3CD6" w:rsidRPr="005F3CD6">
        <w:rPr>
          <w:sz w:val="24"/>
          <w:szCs w:val="24"/>
        </w:rPr>
        <w:t xml:space="preserve"> годы предусмотрен в соответствии п.4.ст. 136 БК РФ и  предлагается  к утверждению:</w:t>
      </w:r>
    </w:p>
    <w:p w:rsidR="005F3CD6" w:rsidRPr="005F3CD6" w:rsidRDefault="007818ED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>- в 2016  году – 918,2</w:t>
      </w:r>
      <w:r w:rsidR="005F3CD6" w:rsidRPr="005F3CD6">
        <w:rPr>
          <w:sz w:val="24"/>
          <w:szCs w:val="24"/>
        </w:rPr>
        <w:t xml:space="preserve"> тыс. руб.;</w:t>
      </w:r>
    </w:p>
    <w:p w:rsidR="005F3CD6" w:rsidRPr="005F3CD6" w:rsidRDefault="007818ED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2017 году  -  983,9</w:t>
      </w:r>
      <w:r w:rsidR="005F3CD6" w:rsidRPr="005F3CD6">
        <w:rPr>
          <w:sz w:val="24"/>
          <w:szCs w:val="24"/>
        </w:rPr>
        <w:t xml:space="preserve"> тыс. руб. </w:t>
      </w:r>
    </w:p>
    <w:p w:rsidR="005F3CD6" w:rsidRPr="005F3CD6" w:rsidRDefault="005F3CD6" w:rsidP="005F3CD6">
      <w:pPr>
        <w:rPr>
          <w:sz w:val="24"/>
          <w:szCs w:val="24"/>
        </w:rPr>
      </w:pPr>
    </w:p>
    <w:p w:rsidR="005F3CD6" w:rsidRPr="005F3CD6" w:rsidRDefault="005F3CD6" w:rsidP="005F3CD6">
      <w:pPr>
        <w:ind w:firstLine="708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Выводы.</w:t>
      </w:r>
    </w:p>
    <w:p w:rsidR="005F3CD6" w:rsidRPr="005F3CD6" w:rsidRDefault="005F3CD6" w:rsidP="005F3CD6">
      <w:pPr>
        <w:ind w:firstLine="708"/>
        <w:rPr>
          <w:b/>
          <w:sz w:val="24"/>
          <w:szCs w:val="24"/>
          <w:u w:val="single"/>
        </w:rPr>
      </w:pPr>
    </w:p>
    <w:p w:rsid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         В ходе  анализа  п</w:t>
      </w:r>
      <w:r w:rsidR="003014A6">
        <w:rPr>
          <w:sz w:val="24"/>
          <w:szCs w:val="24"/>
        </w:rPr>
        <w:t>роекта районного бюджета на 2015 год и на период 2016- 2017</w:t>
      </w:r>
      <w:r w:rsidRPr="005F3CD6">
        <w:rPr>
          <w:sz w:val="24"/>
          <w:szCs w:val="24"/>
        </w:rPr>
        <w:t>годы,  установлено:</w:t>
      </w:r>
    </w:p>
    <w:p w:rsidR="009F23A4" w:rsidRPr="005F3CD6" w:rsidRDefault="009F23A4" w:rsidP="005F3C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3CD6" w:rsidRDefault="005F3CD6" w:rsidP="005F3CD6">
      <w:pPr>
        <w:numPr>
          <w:ilvl w:val="0"/>
          <w:numId w:val="2"/>
        </w:num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Перечень прилагаемых материалов для рассмотрения проекта бюджета во в</w:t>
      </w:r>
      <w:r w:rsidR="009F23A4">
        <w:rPr>
          <w:sz w:val="24"/>
          <w:szCs w:val="24"/>
        </w:rPr>
        <w:t>тором чтении в целом  соответствует  требованиям ст.184.1</w:t>
      </w:r>
      <w:r w:rsidRPr="005F3CD6">
        <w:rPr>
          <w:sz w:val="24"/>
          <w:szCs w:val="24"/>
        </w:rPr>
        <w:t xml:space="preserve">  Бюджетного кодекса РФ и ст.85  Положения о бюджетном процессе в Новосильском районе.</w:t>
      </w:r>
    </w:p>
    <w:p w:rsidR="00C26318" w:rsidRPr="005F3CD6" w:rsidRDefault="00C26318" w:rsidP="00C26318">
      <w:pPr>
        <w:ind w:left="284"/>
        <w:jc w:val="both"/>
        <w:rPr>
          <w:sz w:val="24"/>
          <w:szCs w:val="24"/>
        </w:rPr>
      </w:pPr>
    </w:p>
    <w:p w:rsidR="005F3CD6" w:rsidRPr="005F3CD6" w:rsidRDefault="009F23A4" w:rsidP="005F3CD6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проект решения  о районном бюджете на 2015 год и плановый период 2016-2017 годов во втором чтении не отвечает требованиям ст.85 положения о бюджетном процессе.</w:t>
      </w:r>
    </w:p>
    <w:p w:rsidR="009F23A4" w:rsidRDefault="009F23A4" w:rsidP="009F23A4">
      <w:pPr>
        <w:ind w:left="284"/>
        <w:jc w:val="both"/>
        <w:rPr>
          <w:sz w:val="24"/>
          <w:szCs w:val="24"/>
        </w:rPr>
      </w:pPr>
    </w:p>
    <w:p w:rsidR="00C26318" w:rsidRPr="00C26318" w:rsidRDefault="00C26318" w:rsidP="00C26318">
      <w:pPr>
        <w:pStyle w:val="af3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C26318">
        <w:rPr>
          <w:sz w:val="24"/>
          <w:szCs w:val="24"/>
        </w:rPr>
        <w:t>В нарушение  п 3. ст.184.1.Бюджетного кодекса РФ  проектом Решения о   бюджете не утверждаются оббьем бюджетных ассигнований направленных на исполнение публичных нормативных обязательств.</w:t>
      </w:r>
    </w:p>
    <w:p w:rsidR="0083741C" w:rsidRPr="00C26318" w:rsidRDefault="0083741C" w:rsidP="00C26318">
      <w:pPr>
        <w:ind w:left="644"/>
        <w:jc w:val="both"/>
        <w:rPr>
          <w:sz w:val="24"/>
          <w:szCs w:val="24"/>
        </w:rPr>
      </w:pPr>
    </w:p>
    <w:p w:rsidR="0083741C" w:rsidRDefault="0083741C" w:rsidP="005F3C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о бюджете на 2015 год и плановые периоды 2016-2017 годы отсутствует приложение  о  программе гарантий района на очередной финансовый и плановый  период.</w:t>
      </w:r>
    </w:p>
    <w:p w:rsidR="009F23A4" w:rsidRDefault="009F23A4" w:rsidP="009F23A4">
      <w:pPr>
        <w:pStyle w:val="af3"/>
        <w:rPr>
          <w:sz w:val="24"/>
          <w:szCs w:val="24"/>
        </w:rPr>
      </w:pPr>
    </w:p>
    <w:p w:rsidR="005F3CD6" w:rsidRDefault="005F3CD6" w:rsidP="005F3CD6">
      <w:pPr>
        <w:numPr>
          <w:ilvl w:val="0"/>
          <w:numId w:val="2"/>
        </w:num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Предложенный  проект бюджета  для рассмот</w:t>
      </w:r>
      <w:r w:rsidR="00A04271">
        <w:rPr>
          <w:sz w:val="24"/>
          <w:szCs w:val="24"/>
        </w:rPr>
        <w:t>рения во втором чтении на 2015 год  и плановые периоды 2016-2017</w:t>
      </w:r>
      <w:r w:rsidRPr="005F3CD6">
        <w:rPr>
          <w:sz w:val="24"/>
          <w:szCs w:val="24"/>
        </w:rPr>
        <w:t xml:space="preserve"> годы, соответствует  принципам полноты отражения доходов, расходов и источников финансиров</w:t>
      </w:r>
      <w:r w:rsidR="0079177A">
        <w:rPr>
          <w:sz w:val="24"/>
          <w:szCs w:val="24"/>
        </w:rPr>
        <w:t>ания дефицитабюджета,</w:t>
      </w:r>
      <w:r w:rsidR="00A04271">
        <w:rPr>
          <w:sz w:val="24"/>
          <w:szCs w:val="24"/>
        </w:rPr>
        <w:t xml:space="preserve">  что соответствует требованиям </w:t>
      </w:r>
      <w:r w:rsidRPr="005F3CD6">
        <w:rPr>
          <w:sz w:val="24"/>
          <w:szCs w:val="24"/>
        </w:rPr>
        <w:t xml:space="preserve"> ст.32 Бюджетного Кодекса РФ.</w:t>
      </w:r>
    </w:p>
    <w:p w:rsidR="0079177A" w:rsidRPr="005F3CD6" w:rsidRDefault="0079177A" w:rsidP="0079177A">
      <w:pPr>
        <w:ind w:left="644"/>
        <w:jc w:val="both"/>
        <w:rPr>
          <w:sz w:val="24"/>
          <w:szCs w:val="24"/>
        </w:rPr>
      </w:pPr>
    </w:p>
    <w:p w:rsidR="005F3CD6" w:rsidRPr="005F3CD6" w:rsidRDefault="0079177A" w:rsidP="005F3CD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</w:t>
      </w:r>
      <w:r w:rsidR="00492CC9">
        <w:rPr>
          <w:sz w:val="24"/>
          <w:szCs w:val="24"/>
        </w:rPr>
        <w:t>анализа также установлено, что</w:t>
      </w:r>
      <w:r w:rsidR="005F3CD6" w:rsidRPr="005F3CD6">
        <w:rPr>
          <w:sz w:val="24"/>
          <w:szCs w:val="24"/>
        </w:rPr>
        <w:t xml:space="preserve"> предложенный Проект бюджета не соответствует принципу общего(совокупного)покрытия расходов бюджета, что определяется ст.35 Бюджетного Кодекса Российской Фед</w:t>
      </w:r>
      <w:r w:rsidR="00492CC9">
        <w:rPr>
          <w:sz w:val="24"/>
          <w:szCs w:val="24"/>
        </w:rPr>
        <w:t>ерации.</w:t>
      </w:r>
    </w:p>
    <w:p w:rsidR="005F3CD6" w:rsidRPr="005F3CD6" w:rsidRDefault="005F3CD6" w:rsidP="005F3CD6">
      <w:pPr>
        <w:jc w:val="both"/>
        <w:rPr>
          <w:b/>
          <w:sz w:val="24"/>
          <w:szCs w:val="24"/>
          <w:u w:val="single"/>
        </w:rPr>
      </w:pPr>
      <w:r w:rsidRPr="005F3CD6">
        <w:rPr>
          <w:b/>
          <w:sz w:val="24"/>
          <w:szCs w:val="24"/>
          <w:u w:val="single"/>
        </w:rPr>
        <w:t>Предложения.</w:t>
      </w:r>
    </w:p>
    <w:p w:rsidR="005F3CD6" w:rsidRPr="005F3CD6" w:rsidRDefault="005F3CD6" w:rsidP="005F3CD6">
      <w:pPr>
        <w:ind w:firstLine="708"/>
        <w:jc w:val="both"/>
        <w:rPr>
          <w:b/>
          <w:sz w:val="24"/>
          <w:szCs w:val="24"/>
          <w:u w:val="single"/>
        </w:rPr>
      </w:pPr>
    </w:p>
    <w:p w:rsidR="00515041" w:rsidRDefault="00515041" w:rsidP="005150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515041">
        <w:rPr>
          <w:sz w:val="24"/>
          <w:szCs w:val="24"/>
        </w:rPr>
        <w:t xml:space="preserve">Ревизионная комиссия считаем возможным  </w:t>
      </w:r>
      <w:r>
        <w:rPr>
          <w:sz w:val="24"/>
          <w:szCs w:val="24"/>
        </w:rPr>
        <w:t xml:space="preserve"> п</w:t>
      </w:r>
      <w:r w:rsidR="005F3CD6" w:rsidRPr="00515041">
        <w:rPr>
          <w:sz w:val="24"/>
          <w:szCs w:val="24"/>
        </w:rPr>
        <w:t>роект реш</w:t>
      </w:r>
      <w:r w:rsidR="0083741C" w:rsidRPr="00515041">
        <w:rPr>
          <w:sz w:val="24"/>
          <w:szCs w:val="24"/>
        </w:rPr>
        <w:t xml:space="preserve">ения «О районном бюджете </w:t>
      </w:r>
    </w:p>
    <w:p w:rsidR="00515041" w:rsidRDefault="00C26318" w:rsidP="005150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741C" w:rsidRPr="00515041">
        <w:rPr>
          <w:sz w:val="24"/>
          <w:szCs w:val="24"/>
        </w:rPr>
        <w:t xml:space="preserve">на 2015 год и плановый период 2016-2017 </w:t>
      </w:r>
      <w:r w:rsidR="00515041" w:rsidRPr="00515041">
        <w:rPr>
          <w:sz w:val="24"/>
          <w:szCs w:val="24"/>
        </w:rPr>
        <w:t>годы»</w:t>
      </w:r>
      <w:r w:rsidR="00515041">
        <w:rPr>
          <w:sz w:val="24"/>
          <w:szCs w:val="24"/>
        </w:rPr>
        <w:t xml:space="preserve"> принять  к рассмотрению </w:t>
      </w:r>
      <w:r w:rsidR="005F3CD6" w:rsidRPr="00515041">
        <w:rPr>
          <w:sz w:val="24"/>
          <w:szCs w:val="24"/>
        </w:rPr>
        <w:t xml:space="preserve"> с учетом </w:t>
      </w:r>
    </w:p>
    <w:p w:rsidR="005F3CD6" w:rsidRPr="00515041" w:rsidRDefault="00C26318" w:rsidP="005150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3CD6" w:rsidRPr="00515041">
        <w:rPr>
          <w:sz w:val="24"/>
          <w:szCs w:val="24"/>
        </w:rPr>
        <w:t>замечаний и предложений.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 xml:space="preserve"> Председатель</w:t>
      </w:r>
    </w:p>
    <w:p w:rsidR="005F3CD6" w:rsidRPr="005F3CD6" w:rsidRDefault="005F3CD6" w:rsidP="005F3CD6">
      <w:pPr>
        <w:jc w:val="both"/>
        <w:rPr>
          <w:sz w:val="24"/>
          <w:szCs w:val="24"/>
        </w:rPr>
      </w:pPr>
      <w:r w:rsidRPr="005F3CD6">
        <w:rPr>
          <w:sz w:val="24"/>
          <w:szCs w:val="24"/>
        </w:rPr>
        <w:t>Ревизионной комиссии                                                        З.Н.Юрцевич.</w:t>
      </w:r>
    </w:p>
    <w:p w:rsidR="005F3CD6" w:rsidRPr="005F3CD6" w:rsidRDefault="005F3CD6" w:rsidP="005F3CD6">
      <w:pPr>
        <w:ind w:firstLine="708"/>
        <w:rPr>
          <w:b/>
          <w:sz w:val="24"/>
          <w:szCs w:val="24"/>
          <w:u w:val="single"/>
        </w:rPr>
      </w:pPr>
    </w:p>
    <w:p w:rsidR="005F3CD6" w:rsidRPr="005F3CD6" w:rsidRDefault="005F3CD6" w:rsidP="005F3CD6">
      <w:pPr>
        <w:ind w:firstLine="708"/>
        <w:rPr>
          <w:b/>
          <w:sz w:val="24"/>
          <w:szCs w:val="24"/>
          <w:u w:val="single"/>
        </w:rPr>
      </w:pPr>
    </w:p>
    <w:p w:rsidR="005F3CD6" w:rsidRPr="005F3CD6" w:rsidRDefault="005F3CD6" w:rsidP="005F3CD6">
      <w:pPr>
        <w:ind w:firstLine="708"/>
        <w:rPr>
          <w:b/>
          <w:sz w:val="24"/>
          <w:szCs w:val="24"/>
          <w:u w:val="single"/>
        </w:rPr>
      </w:pPr>
    </w:p>
    <w:p w:rsidR="005F3CD6" w:rsidRPr="005F3CD6" w:rsidRDefault="005F3CD6" w:rsidP="005F3CD6">
      <w:pPr>
        <w:ind w:firstLine="708"/>
        <w:rPr>
          <w:b/>
          <w:sz w:val="24"/>
          <w:szCs w:val="24"/>
          <w:u w:val="single"/>
        </w:rPr>
      </w:pPr>
    </w:p>
    <w:p w:rsidR="005F3CD6" w:rsidRPr="005F3CD6" w:rsidRDefault="005F3CD6" w:rsidP="005F3CD6">
      <w:pPr>
        <w:ind w:firstLine="708"/>
        <w:rPr>
          <w:b/>
          <w:sz w:val="24"/>
          <w:szCs w:val="24"/>
          <w:u w:val="single"/>
        </w:rPr>
      </w:pPr>
    </w:p>
    <w:p w:rsidR="000F5816" w:rsidRPr="005F3CD6" w:rsidRDefault="000F5816" w:rsidP="005F3CD6">
      <w:pPr>
        <w:rPr>
          <w:sz w:val="24"/>
          <w:szCs w:val="24"/>
        </w:rPr>
      </w:pPr>
    </w:p>
    <w:p w:rsidR="00B23716" w:rsidRPr="005F3CD6" w:rsidRDefault="00B23716" w:rsidP="00B23716">
      <w:pPr>
        <w:rPr>
          <w:color w:val="0000FF"/>
          <w:sz w:val="24"/>
          <w:szCs w:val="24"/>
        </w:rPr>
      </w:pPr>
    </w:p>
    <w:sectPr w:rsidR="00B23716" w:rsidRPr="005F3CD6" w:rsidSect="00F60F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05" w:rsidRDefault="00620505" w:rsidP="00B23716">
      <w:r>
        <w:separator/>
      </w:r>
    </w:p>
  </w:endnote>
  <w:endnote w:type="continuationSeparator" w:id="1">
    <w:p w:rsidR="00620505" w:rsidRDefault="00620505" w:rsidP="00B2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954"/>
    </w:sdtPr>
    <w:sdtContent>
      <w:p w:rsidR="006A20B7" w:rsidRDefault="006A20B7">
        <w:pPr>
          <w:pStyle w:val="a6"/>
          <w:jc w:val="right"/>
        </w:pPr>
        <w:fldSimple w:instr=" PAGE   \* MERGEFORMAT ">
          <w:r w:rsidR="00B561A2">
            <w:rPr>
              <w:noProof/>
            </w:rPr>
            <w:t>8</w:t>
          </w:r>
        </w:fldSimple>
      </w:p>
    </w:sdtContent>
  </w:sdt>
  <w:p w:rsidR="006A20B7" w:rsidRDefault="006A20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05" w:rsidRDefault="00620505" w:rsidP="00B23716">
      <w:r>
        <w:separator/>
      </w:r>
    </w:p>
  </w:footnote>
  <w:footnote w:type="continuationSeparator" w:id="1">
    <w:p w:rsidR="00620505" w:rsidRDefault="00620505" w:rsidP="00B23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5B87"/>
    <w:multiLevelType w:val="hybridMultilevel"/>
    <w:tmpl w:val="AB3A448C"/>
    <w:lvl w:ilvl="0" w:tplc="95FEA58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4ED33A3"/>
    <w:multiLevelType w:val="hybridMultilevel"/>
    <w:tmpl w:val="32925C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C4452"/>
    <w:multiLevelType w:val="hybridMultilevel"/>
    <w:tmpl w:val="696825EE"/>
    <w:lvl w:ilvl="0" w:tplc="62E8C0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6753331"/>
    <w:multiLevelType w:val="hybridMultilevel"/>
    <w:tmpl w:val="1E3AD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716"/>
    <w:rsid w:val="0000310A"/>
    <w:rsid w:val="0000564A"/>
    <w:rsid w:val="0001353C"/>
    <w:rsid w:val="00035CEB"/>
    <w:rsid w:val="0004415F"/>
    <w:rsid w:val="00046058"/>
    <w:rsid w:val="00052C1F"/>
    <w:rsid w:val="00056D79"/>
    <w:rsid w:val="00063519"/>
    <w:rsid w:val="00073CAB"/>
    <w:rsid w:val="00081614"/>
    <w:rsid w:val="00084E48"/>
    <w:rsid w:val="00095D41"/>
    <w:rsid w:val="000B2E00"/>
    <w:rsid w:val="000C698F"/>
    <w:rsid w:val="000D3655"/>
    <w:rsid w:val="000E1391"/>
    <w:rsid w:val="000F5816"/>
    <w:rsid w:val="0010400B"/>
    <w:rsid w:val="00122610"/>
    <w:rsid w:val="001235FB"/>
    <w:rsid w:val="00133E1F"/>
    <w:rsid w:val="00150D8A"/>
    <w:rsid w:val="00154D5E"/>
    <w:rsid w:val="0016602E"/>
    <w:rsid w:val="00176851"/>
    <w:rsid w:val="00177F96"/>
    <w:rsid w:val="00182B77"/>
    <w:rsid w:val="00185A84"/>
    <w:rsid w:val="0018751C"/>
    <w:rsid w:val="001A13EA"/>
    <w:rsid w:val="001A1675"/>
    <w:rsid w:val="001A383A"/>
    <w:rsid w:val="001A69B0"/>
    <w:rsid w:val="001C5411"/>
    <w:rsid w:val="00201E47"/>
    <w:rsid w:val="00216449"/>
    <w:rsid w:val="00221EBC"/>
    <w:rsid w:val="00225DD9"/>
    <w:rsid w:val="0026698E"/>
    <w:rsid w:val="00273583"/>
    <w:rsid w:val="002A54AB"/>
    <w:rsid w:val="002B0FD8"/>
    <w:rsid w:val="002B2227"/>
    <w:rsid w:val="002E2CAD"/>
    <w:rsid w:val="002F3887"/>
    <w:rsid w:val="003014A6"/>
    <w:rsid w:val="00302EB8"/>
    <w:rsid w:val="00316C08"/>
    <w:rsid w:val="003376D8"/>
    <w:rsid w:val="003413A1"/>
    <w:rsid w:val="00343FDB"/>
    <w:rsid w:val="0035584F"/>
    <w:rsid w:val="00355FFA"/>
    <w:rsid w:val="00372147"/>
    <w:rsid w:val="003771FC"/>
    <w:rsid w:val="00384B63"/>
    <w:rsid w:val="00391AA0"/>
    <w:rsid w:val="003943C8"/>
    <w:rsid w:val="003A2B8D"/>
    <w:rsid w:val="003A4A11"/>
    <w:rsid w:val="003A648B"/>
    <w:rsid w:val="003B263B"/>
    <w:rsid w:val="003C70CC"/>
    <w:rsid w:val="003D2F4D"/>
    <w:rsid w:val="003F71CD"/>
    <w:rsid w:val="00421EAB"/>
    <w:rsid w:val="00431CCD"/>
    <w:rsid w:val="00444083"/>
    <w:rsid w:val="00446971"/>
    <w:rsid w:val="00450C80"/>
    <w:rsid w:val="00461AF9"/>
    <w:rsid w:val="004709EC"/>
    <w:rsid w:val="004773CB"/>
    <w:rsid w:val="00477A39"/>
    <w:rsid w:val="00485DB4"/>
    <w:rsid w:val="00486ACE"/>
    <w:rsid w:val="004877D7"/>
    <w:rsid w:val="0049060B"/>
    <w:rsid w:val="00492CC9"/>
    <w:rsid w:val="004A25F7"/>
    <w:rsid w:val="004A74DC"/>
    <w:rsid w:val="004C2BAF"/>
    <w:rsid w:val="004D76FA"/>
    <w:rsid w:val="004E551D"/>
    <w:rsid w:val="005024FD"/>
    <w:rsid w:val="00515041"/>
    <w:rsid w:val="00517000"/>
    <w:rsid w:val="005358EA"/>
    <w:rsid w:val="005552C1"/>
    <w:rsid w:val="0056174F"/>
    <w:rsid w:val="00565242"/>
    <w:rsid w:val="0057550C"/>
    <w:rsid w:val="00584A9F"/>
    <w:rsid w:val="005A75E7"/>
    <w:rsid w:val="005B2BD1"/>
    <w:rsid w:val="005C32F0"/>
    <w:rsid w:val="005C40DD"/>
    <w:rsid w:val="005E1C0B"/>
    <w:rsid w:val="005F3CD6"/>
    <w:rsid w:val="005F7782"/>
    <w:rsid w:val="006009C0"/>
    <w:rsid w:val="0061251F"/>
    <w:rsid w:val="00616531"/>
    <w:rsid w:val="006179A1"/>
    <w:rsid w:val="00620505"/>
    <w:rsid w:val="0062397D"/>
    <w:rsid w:val="0062757F"/>
    <w:rsid w:val="00637CFD"/>
    <w:rsid w:val="006402A0"/>
    <w:rsid w:val="00645F09"/>
    <w:rsid w:val="00646244"/>
    <w:rsid w:val="0065735D"/>
    <w:rsid w:val="00663504"/>
    <w:rsid w:val="006719B6"/>
    <w:rsid w:val="00690E50"/>
    <w:rsid w:val="00696989"/>
    <w:rsid w:val="006A20B7"/>
    <w:rsid w:val="006B3E6A"/>
    <w:rsid w:val="006D0E52"/>
    <w:rsid w:val="006D1467"/>
    <w:rsid w:val="006D6FB2"/>
    <w:rsid w:val="006D70A8"/>
    <w:rsid w:val="006F27F6"/>
    <w:rsid w:val="007110A7"/>
    <w:rsid w:val="00714FD5"/>
    <w:rsid w:val="00721728"/>
    <w:rsid w:val="00725E1D"/>
    <w:rsid w:val="00726D61"/>
    <w:rsid w:val="00727EFB"/>
    <w:rsid w:val="00731523"/>
    <w:rsid w:val="00732F4E"/>
    <w:rsid w:val="007478C1"/>
    <w:rsid w:val="00751B07"/>
    <w:rsid w:val="00774AE5"/>
    <w:rsid w:val="007818ED"/>
    <w:rsid w:val="00785FF4"/>
    <w:rsid w:val="00790BFB"/>
    <w:rsid w:val="0079177A"/>
    <w:rsid w:val="00797682"/>
    <w:rsid w:val="007B1BA5"/>
    <w:rsid w:val="007B3045"/>
    <w:rsid w:val="007B4EA5"/>
    <w:rsid w:val="007C77A8"/>
    <w:rsid w:val="007E6881"/>
    <w:rsid w:val="007E6F95"/>
    <w:rsid w:val="007F739A"/>
    <w:rsid w:val="007F7823"/>
    <w:rsid w:val="0082480F"/>
    <w:rsid w:val="0083559A"/>
    <w:rsid w:val="0083741C"/>
    <w:rsid w:val="00840A39"/>
    <w:rsid w:val="00842197"/>
    <w:rsid w:val="00847C82"/>
    <w:rsid w:val="008519E7"/>
    <w:rsid w:val="00853018"/>
    <w:rsid w:val="00853F2C"/>
    <w:rsid w:val="0086641F"/>
    <w:rsid w:val="00870BA3"/>
    <w:rsid w:val="00876151"/>
    <w:rsid w:val="008940EB"/>
    <w:rsid w:val="008A2987"/>
    <w:rsid w:val="008A4CC1"/>
    <w:rsid w:val="008A4FEC"/>
    <w:rsid w:val="008B22A5"/>
    <w:rsid w:val="008B34FB"/>
    <w:rsid w:val="008B4F44"/>
    <w:rsid w:val="008C2498"/>
    <w:rsid w:val="008C6E59"/>
    <w:rsid w:val="008E13CE"/>
    <w:rsid w:val="008E796E"/>
    <w:rsid w:val="009226C5"/>
    <w:rsid w:val="00936F5D"/>
    <w:rsid w:val="00941EC9"/>
    <w:rsid w:val="009443D6"/>
    <w:rsid w:val="00945A9E"/>
    <w:rsid w:val="00961A41"/>
    <w:rsid w:val="00971733"/>
    <w:rsid w:val="009849E9"/>
    <w:rsid w:val="00990218"/>
    <w:rsid w:val="00992C84"/>
    <w:rsid w:val="0099648F"/>
    <w:rsid w:val="009A2F0B"/>
    <w:rsid w:val="009C3432"/>
    <w:rsid w:val="009D749D"/>
    <w:rsid w:val="009E3DA3"/>
    <w:rsid w:val="009F018C"/>
    <w:rsid w:val="009F0432"/>
    <w:rsid w:val="009F23A4"/>
    <w:rsid w:val="00A01DF3"/>
    <w:rsid w:val="00A04271"/>
    <w:rsid w:val="00A060F5"/>
    <w:rsid w:val="00A34819"/>
    <w:rsid w:val="00A37170"/>
    <w:rsid w:val="00A40813"/>
    <w:rsid w:val="00A44987"/>
    <w:rsid w:val="00A52D8D"/>
    <w:rsid w:val="00A81FB1"/>
    <w:rsid w:val="00A87182"/>
    <w:rsid w:val="00A90F4D"/>
    <w:rsid w:val="00A97082"/>
    <w:rsid w:val="00AB0FBD"/>
    <w:rsid w:val="00AB7641"/>
    <w:rsid w:val="00AC32B7"/>
    <w:rsid w:val="00AC690F"/>
    <w:rsid w:val="00AC6E0F"/>
    <w:rsid w:val="00AC7F65"/>
    <w:rsid w:val="00AD60A8"/>
    <w:rsid w:val="00AE1524"/>
    <w:rsid w:val="00AE6ED6"/>
    <w:rsid w:val="00AF0A82"/>
    <w:rsid w:val="00B014CA"/>
    <w:rsid w:val="00B14B24"/>
    <w:rsid w:val="00B2288F"/>
    <w:rsid w:val="00B23716"/>
    <w:rsid w:val="00B2663F"/>
    <w:rsid w:val="00B36050"/>
    <w:rsid w:val="00B47CDB"/>
    <w:rsid w:val="00B561A2"/>
    <w:rsid w:val="00B7587F"/>
    <w:rsid w:val="00B842EC"/>
    <w:rsid w:val="00B86589"/>
    <w:rsid w:val="00B928E9"/>
    <w:rsid w:val="00BA2BD7"/>
    <w:rsid w:val="00BC533C"/>
    <w:rsid w:val="00BC7580"/>
    <w:rsid w:val="00BD7045"/>
    <w:rsid w:val="00BE2C22"/>
    <w:rsid w:val="00BF08F2"/>
    <w:rsid w:val="00C06E64"/>
    <w:rsid w:val="00C0759A"/>
    <w:rsid w:val="00C21257"/>
    <w:rsid w:val="00C26318"/>
    <w:rsid w:val="00C27D85"/>
    <w:rsid w:val="00C30BF1"/>
    <w:rsid w:val="00C41694"/>
    <w:rsid w:val="00C657C3"/>
    <w:rsid w:val="00C77BC4"/>
    <w:rsid w:val="00C848C0"/>
    <w:rsid w:val="00C920E2"/>
    <w:rsid w:val="00CB5FC7"/>
    <w:rsid w:val="00CC400C"/>
    <w:rsid w:val="00CF3833"/>
    <w:rsid w:val="00CF4631"/>
    <w:rsid w:val="00CF476B"/>
    <w:rsid w:val="00CF5F0E"/>
    <w:rsid w:val="00D12A26"/>
    <w:rsid w:val="00D14F8A"/>
    <w:rsid w:val="00D34A82"/>
    <w:rsid w:val="00D42CFF"/>
    <w:rsid w:val="00D4538D"/>
    <w:rsid w:val="00D5020D"/>
    <w:rsid w:val="00D50D01"/>
    <w:rsid w:val="00D65678"/>
    <w:rsid w:val="00D93316"/>
    <w:rsid w:val="00D97C1E"/>
    <w:rsid w:val="00DA4FFD"/>
    <w:rsid w:val="00DD6D54"/>
    <w:rsid w:val="00E03B87"/>
    <w:rsid w:val="00E07F1F"/>
    <w:rsid w:val="00E16AC4"/>
    <w:rsid w:val="00E3660C"/>
    <w:rsid w:val="00E41295"/>
    <w:rsid w:val="00E41359"/>
    <w:rsid w:val="00E44D77"/>
    <w:rsid w:val="00E6752A"/>
    <w:rsid w:val="00E74CE3"/>
    <w:rsid w:val="00E75A8F"/>
    <w:rsid w:val="00E91B7E"/>
    <w:rsid w:val="00E97648"/>
    <w:rsid w:val="00EA30E2"/>
    <w:rsid w:val="00EA3C32"/>
    <w:rsid w:val="00EB210F"/>
    <w:rsid w:val="00EB5764"/>
    <w:rsid w:val="00EB6DBE"/>
    <w:rsid w:val="00ED2495"/>
    <w:rsid w:val="00ED538E"/>
    <w:rsid w:val="00EE1534"/>
    <w:rsid w:val="00EE2014"/>
    <w:rsid w:val="00F14BE7"/>
    <w:rsid w:val="00F14F74"/>
    <w:rsid w:val="00F224FA"/>
    <w:rsid w:val="00F36600"/>
    <w:rsid w:val="00F37CFE"/>
    <w:rsid w:val="00F37F3C"/>
    <w:rsid w:val="00F43AAC"/>
    <w:rsid w:val="00F463B4"/>
    <w:rsid w:val="00F60F35"/>
    <w:rsid w:val="00F668DD"/>
    <w:rsid w:val="00F71600"/>
    <w:rsid w:val="00F85355"/>
    <w:rsid w:val="00FB31D3"/>
    <w:rsid w:val="00FB3D6B"/>
    <w:rsid w:val="00FC7489"/>
    <w:rsid w:val="00FD1DF7"/>
    <w:rsid w:val="00FD676C"/>
    <w:rsid w:val="00FD6ACD"/>
    <w:rsid w:val="00FE4D56"/>
    <w:rsid w:val="00FE7B58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B2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F3CD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3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rsid w:val="005F3CD6"/>
    <w:pPr>
      <w:ind w:firstLine="210"/>
    </w:pPr>
  </w:style>
  <w:style w:type="character" w:customStyle="1" w:styleId="ae">
    <w:name w:val="Красная строка Знак"/>
    <w:basedOn w:val="ac"/>
    <w:link w:val="ad"/>
    <w:rsid w:val="005F3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F3CD6"/>
  </w:style>
  <w:style w:type="paragraph" w:styleId="af0">
    <w:name w:val="No Spacing"/>
    <w:uiPriority w:val="1"/>
    <w:qFormat/>
    <w:rsid w:val="0037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18751C"/>
  </w:style>
  <w:style w:type="paragraph" w:customStyle="1" w:styleId="af2">
    <w:name w:val="Знак Знак Знак Знак"/>
    <w:basedOn w:val="a"/>
    <w:rsid w:val="003376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3">
    <w:name w:val="List Paragraph"/>
    <w:basedOn w:val="a"/>
    <w:uiPriority w:val="34"/>
    <w:qFormat/>
    <w:rsid w:val="009F2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A6CD03-8D64-4567-BE4E-AC1F867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14</Pages>
  <Words>5111</Words>
  <Characters>29137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OEMUser</cp:lastModifiedBy>
  <cp:revision>1</cp:revision>
  <cp:lastPrinted>2014-12-25T07:49:00Z</cp:lastPrinted>
  <dcterms:created xsi:type="dcterms:W3CDTF">2013-07-18T07:06:00Z</dcterms:created>
  <dcterms:modified xsi:type="dcterms:W3CDTF">2014-12-25T12:59:00Z</dcterms:modified>
</cp:coreProperties>
</file>