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E1" w:rsidRDefault="00006FE1" w:rsidP="00006FE1">
      <w:pPr>
        <w:ind w:hanging="900"/>
        <w:rPr>
          <w:rFonts w:ascii="Courier New" w:hAnsi="Courier New" w:cs="Courier New"/>
          <w:noProof/>
          <w:sz w:val="20"/>
          <w:szCs w:val="20"/>
        </w:rPr>
      </w:pPr>
    </w:p>
    <w:p w:rsidR="00993E0C" w:rsidRPr="004F595E" w:rsidRDefault="00993E0C" w:rsidP="00993E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4F595E">
        <w:rPr>
          <w:sz w:val="22"/>
          <w:szCs w:val="22"/>
        </w:rPr>
        <w:t>Приложение</w:t>
      </w:r>
    </w:p>
    <w:p w:rsidR="00993E0C" w:rsidRPr="004F595E" w:rsidRDefault="00993E0C" w:rsidP="00993E0C">
      <w:pPr>
        <w:jc w:val="center"/>
        <w:rPr>
          <w:sz w:val="22"/>
          <w:szCs w:val="22"/>
        </w:rPr>
      </w:pPr>
      <w:r w:rsidRPr="004F595E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4F595E">
        <w:rPr>
          <w:sz w:val="22"/>
          <w:szCs w:val="22"/>
        </w:rPr>
        <w:t>к  решению районного Совета</w:t>
      </w:r>
    </w:p>
    <w:p w:rsidR="00993E0C" w:rsidRPr="004F595E" w:rsidRDefault="00993E0C" w:rsidP="00993E0C">
      <w:pPr>
        <w:jc w:val="center"/>
        <w:rPr>
          <w:sz w:val="22"/>
          <w:szCs w:val="22"/>
        </w:rPr>
      </w:pPr>
      <w:r w:rsidRPr="004F595E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                         </w:t>
      </w:r>
      <w:r w:rsidRPr="004F595E">
        <w:rPr>
          <w:sz w:val="22"/>
          <w:szCs w:val="22"/>
        </w:rPr>
        <w:t xml:space="preserve">народных депутатов </w:t>
      </w:r>
    </w:p>
    <w:p w:rsidR="00993E0C" w:rsidRPr="00A42D8B" w:rsidRDefault="00993E0C" w:rsidP="00993E0C">
      <w:pPr>
        <w:ind w:hanging="900"/>
        <w:rPr>
          <w:sz w:val="22"/>
          <w:szCs w:val="22"/>
        </w:rPr>
      </w:pPr>
      <w:r w:rsidRPr="004F595E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от </w:t>
      </w:r>
      <w:r w:rsidR="00DC5D13">
        <w:rPr>
          <w:sz w:val="22"/>
          <w:szCs w:val="22"/>
        </w:rPr>
        <w:t xml:space="preserve">31 марта  2017 г. №49 - </w:t>
      </w:r>
      <w:r>
        <w:rPr>
          <w:sz w:val="22"/>
          <w:szCs w:val="22"/>
        </w:rPr>
        <w:t>РС</w:t>
      </w:r>
    </w:p>
    <w:p w:rsidR="00993E0C" w:rsidRDefault="00993E0C" w:rsidP="00993E0C">
      <w:pPr>
        <w:rPr>
          <w:rFonts w:ascii="Courier New" w:hAnsi="Courier New" w:cs="Courier New"/>
          <w:noProof/>
          <w:sz w:val="20"/>
          <w:szCs w:val="20"/>
        </w:rPr>
      </w:pPr>
    </w:p>
    <w:p w:rsidR="00993E0C" w:rsidRPr="00993E0C" w:rsidRDefault="00993E0C" w:rsidP="00006FE1">
      <w:pPr>
        <w:ind w:hanging="900"/>
        <w:rPr>
          <w:color w:val="0000FF"/>
          <w:sz w:val="26"/>
          <w:szCs w:val="26"/>
        </w:rPr>
      </w:pPr>
    </w:p>
    <w:p w:rsidR="00006FE1" w:rsidRPr="00993E0C" w:rsidRDefault="00006FE1" w:rsidP="00006FE1">
      <w:pPr>
        <w:ind w:left="-900"/>
        <w:jc w:val="center"/>
        <w:rPr>
          <w:sz w:val="26"/>
          <w:szCs w:val="26"/>
        </w:rPr>
      </w:pPr>
      <w:r w:rsidRPr="00993E0C">
        <w:rPr>
          <w:sz w:val="26"/>
          <w:szCs w:val="26"/>
        </w:rPr>
        <w:t xml:space="preserve">      Об итогах приватизации муниципального имущества</w:t>
      </w:r>
    </w:p>
    <w:p w:rsidR="00006FE1" w:rsidRPr="00993E0C" w:rsidRDefault="00006FE1" w:rsidP="00006FE1">
      <w:pPr>
        <w:ind w:left="-900"/>
        <w:jc w:val="center"/>
        <w:rPr>
          <w:sz w:val="26"/>
          <w:szCs w:val="26"/>
        </w:rPr>
      </w:pPr>
      <w:r w:rsidRPr="00993E0C">
        <w:rPr>
          <w:sz w:val="26"/>
          <w:szCs w:val="26"/>
        </w:rPr>
        <w:t xml:space="preserve">         Новосильского района за 2016 год</w:t>
      </w:r>
    </w:p>
    <w:p w:rsidR="00006FE1" w:rsidRPr="00993E0C" w:rsidRDefault="00006FE1" w:rsidP="00006FE1">
      <w:pPr>
        <w:ind w:left="-900"/>
        <w:rPr>
          <w:sz w:val="26"/>
          <w:szCs w:val="26"/>
        </w:rPr>
      </w:pP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Основными целями и задачами приватизации муниципального имущества являются: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оптимизация структуры муниципальной собственности;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создание условий для эффективного использования  объектов  недвижимости;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стимулирование привлечения инвестиций в реальный сектор экономики и активизация рынка недвижимости;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обеспечение планомерности процесса приватизации;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приватизация объектов недвижимости, не используемых для решения вопросов местного значения и не используемых для обеспечения деятельности органов местного самоуправления, работников муниципальных предприятий и учреждений;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формирование доходов муниципального бюджета.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Реализация указанных задач достигается за счёт принятия решений о способе, сроке, начальной цене приватизации имущества на основании всестороннего анализа складывающейся экономической ситуации и конъюнктуры рынка, проведения инвентаризации и независимой оценки имущества, соотнесения предлагаемого к приватизации объёма муниципального имущества с возможностями рыночного спроса на них.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Руководствуясь ст. 10 Положения «О владении, пользовании и распоряжении муниципальным имуществом Новосильского района», программа приватизации, муниципального имущества на очередной финансовый год, включающая перечень объектов, подлежащих реализации, ежегодно утверждается районным Советом народных депутатов</w:t>
      </w:r>
      <w:r w:rsidR="002B582B" w:rsidRPr="00993E0C">
        <w:rPr>
          <w:sz w:val="26"/>
          <w:szCs w:val="26"/>
        </w:rPr>
        <w:t>, на 2016 год это решение от 25.12.2016г. № 718</w:t>
      </w:r>
      <w:r w:rsidRPr="00993E0C">
        <w:rPr>
          <w:sz w:val="26"/>
          <w:szCs w:val="26"/>
        </w:rPr>
        <w:t>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При реализации программы приватизации используются способы приватизации, предусмотренные Федеральным законом от 21.12.2001 г. № 178-ФЗ «О приватизации государственного и муниципального имущества», а именно реализация имущества на аукционе, посредством публичного предложения и без объявления цены.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Действие программы приватизации не распространяется на отношения, возникающие при отчуждении: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земли (кроме земельных участков на которых расположено приватизируемое имущество);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природных ресурсов;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муниципального жилищного фонда;</w:t>
      </w:r>
    </w:p>
    <w:p w:rsidR="00006FE1" w:rsidRPr="00993E0C" w:rsidRDefault="00006FE1" w:rsidP="00006FE1">
      <w:pPr>
        <w:ind w:left="-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• муниципального имущества на основании судебного решения.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Продажа муниципального имущества осуществляется в соответствии с Положениями об организации продажи государственного или муниципального имущества на аукционе, посредством публичного предложения и без объявления цены, утвержденными Постановлениями Правительства Российской Федерации.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 xml:space="preserve">В соответствии с требованиями федерального законодательства, начальная цена приватизируемого муниципального имущества устанавливается на основании отчета об оценке, составленного в соответствии с Федеральным законом от 29.07.1998 г. № 135-ФЗ «Об оценочной деятельности в Российской Федерации». В случае отсутствия спроса на  приватизируемое  имущество уменьшение начальной цены осуществляется также в </w:t>
      </w:r>
      <w:r w:rsidRPr="00993E0C">
        <w:rPr>
          <w:sz w:val="26"/>
          <w:szCs w:val="26"/>
        </w:rPr>
        <w:lastRenderedPageBreak/>
        <w:t>соответствии с нормами Федерального закона от 21.12.2001 г. № 178-ФЗ «О приватизации государственного и муниципального имущества».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Информационные сообщения о продаже муниципального имущества  размещаются на официальном сайте продавца в сети «Интернет» и сайте Российской Федерации торги.гов.ру (с июня 2015г. сообщения в печатных органах не публикуются).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Денежные средства, полученные от продажи муниципального имущества  перечисляются в районный бюджет Новосильского района.</w:t>
      </w:r>
    </w:p>
    <w:p w:rsidR="00006FE1" w:rsidRPr="00993E0C" w:rsidRDefault="0069610A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Первоначально в</w:t>
      </w:r>
      <w:r w:rsidR="00006FE1" w:rsidRPr="00993E0C">
        <w:rPr>
          <w:sz w:val="26"/>
          <w:szCs w:val="26"/>
        </w:rPr>
        <w:t xml:space="preserve"> программ</w:t>
      </w:r>
      <w:r w:rsidRPr="00993E0C">
        <w:rPr>
          <w:sz w:val="26"/>
          <w:szCs w:val="26"/>
        </w:rPr>
        <w:t>у</w:t>
      </w:r>
      <w:r w:rsidR="00006FE1" w:rsidRPr="00993E0C">
        <w:rPr>
          <w:sz w:val="26"/>
          <w:szCs w:val="26"/>
        </w:rPr>
        <w:t xml:space="preserve"> приватизации на 2016 год на реализацию в</w:t>
      </w:r>
      <w:r w:rsidRPr="00993E0C">
        <w:rPr>
          <w:sz w:val="26"/>
          <w:szCs w:val="26"/>
        </w:rPr>
        <w:t>ключал</w:t>
      </w:r>
      <w:r w:rsidR="00006FE1" w:rsidRPr="00993E0C">
        <w:rPr>
          <w:sz w:val="26"/>
          <w:szCs w:val="26"/>
        </w:rPr>
        <w:t>ось 1</w:t>
      </w:r>
      <w:r w:rsidRPr="00993E0C">
        <w:rPr>
          <w:sz w:val="26"/>
          <w:szCs w:val="26"/>
        </w:rPr>
        <w:t>0</w:t>
      </w:r>
      <w:r w:rsidR="00006FE1" w:rsidRPr="00993E0C">
        <w:rPr>
          <w:sz w:val="26"/>
          <w:szCs w:val="26"/>
        </w:rPr>
        <w:t xml:space="preserve"> объектов казны Новосильского района</w:t>
      </w:r>
      <w:r w:rsidR="00984D23" w:rsidRPr="00993E0C">
        <w:rPr>
          <w:sz w:val="26"/>
          <w:szCs w:val="26"/>
        </w:rPr>
        <w:t xml:space="preserve">, затем в перечень объектов </w:t>
      </w:r>
      <w:r w:rsidR="002B582B" w:rsidRPr="00993E0C">
        <w:rPr>
          <w:sz w:val="26"/>
          <w:szCs w:val="26"/>
        </w:rPr>
        <w:t xml:space="preserve">решениями райсовета от 29 апреля и 24 июня 2016г.  </w:t>
      </w:r>
      <w:r w:rsidR="00984D23" w:rsidRPr="00993E0C">
        <w:rPr>
          <w:sz w:val="26"/>
          <w:szCs w:val="26"/>
        </w:rPr>
        <w:t xml:space="preserve">было добавлено ещё 5 </w:t>
      </w:r>
      <w:r w:rsidR="002B582B" w:rsidRPr="00993E0C">
        <w:rPr>
          <w:sz w:val="26"/>
          <w:szCs w:val="26"/>
        </w:rPr>
        <w:t>единиц имущества</w:t>
      </w:r>
      <w:r w:rsidR="00006FE1" w:rsidRPr="00993E0C">
        <w:rPr>
          <w:sz w:val="26"/>
          <w:szCs w:val="26"/>
        </w:rPr>
        <w:t xml:space="preserve">. </w:t>
      </w:r>
      <w:r w:rsidR="00984D23" w:rsidRPr="00993E0C">
        <w:rPr>
          <w:sz w:val="26"/>
          <w:szCs w:val="26"/>
        </w:rPr>
        <w:t>И</w:t>
      </w:r>
      <w:r w:rsidR="00006FE1" w:rsidRPr="00993E0C">
        <w:rPr>
          <w:sz w:val="26"/>
          <w:szCs w:val="26"/>
        </w:rPr>
        <w:t>тоги приватизации отражены в таблице:</w:t>
      </w:r>
    </w:p>
    <w:p w:rsidR="00006FE1" w:rsidRPr="00C60D66" w:rsidRDefault="00006FE1" w:rsidP="00006FE1">
      <w:pPr>
        <w:rPr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2952"/>
        <w:gridCol w:w="2219"/>
        <w:gridCol w:w="2520"/>
        <w:gridCol w:w="1624"/>
      </w:tblGrid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№ п/п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 xml:space="preserve">                 Наименование объекта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Адрес месторасположения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Итоги  приватизации</w:t>
            </w:r>
            <w:r w:rsidR="006B5120" w:rsidRPr="00CA34AA">
              <w:rPr>
                <w:sz w:val="20"/>
                <w:szCs w:val="20"/>
              </w:rPr>
              <w:t xml:space="preserve"> (способ)</w:t>
            </w:r>
          </w:p>
          <w:p w:rsidR="006B5120" w:rsidRPr="00CA34AA" w:rsidRDefault="006B5120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 xml:space="preserve">Цена реализации </w:t>
            </w:r>
            <w:r w:rsidR="006B5120" w:rsidRPr="00CA34AA">
              <w:rPr>
                <w:sz w:val="20"/>
                <w:szCs w:val="20"/>
              </w:rPr>
              <w:t xml:space="preserve">(без НДС) </w:t>
            </w:r>
            <w:r w:rsidRPr="00CA34AA">
              <w:rPr>
                <w:sz w:val="20"/>
                <w:szCs w:val="20"/>
              </w:rPr>
              <w:t>т.р.</w:t>
            </w: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169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г.Новосиль, ул.Свободы, д.11а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C532EE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Реализовано с аукциона</w:t>
            </w:r>
          </w:p>
          <w:p w:rsidR="006B5120" w:rsidRPr="00CA34AA" w:rsidRDefault="006B5120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2 квартал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212,7</w:t>
            </w: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2.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Сельский дом культуры 162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д.Михалёво Петушенское с/п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3.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(бывшая Голянская  школа) 942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с.Голянка Петушенское с/п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4.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столярного цеха 710 кв.м с земельным участком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г.Новосиль, ул.Луначарского, 40 б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5.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(бывшая Кириковская  школа) 502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д.Кирики Хворостянское с/п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6.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(столовая бывшей Кириковской школы) 80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д.Кирики Хворостянское с/п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7.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205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г.Новосиль, ул.Луначарского, 40 в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8.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984D23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Ангар металлический 581,7</w:t>
            </w:r>
            <w:r w:rsidR="00006FE1" w:rsidRPr="00CA34AA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севернее н.п.Ямская Слобода Зареченского с/п</w:t>
            </w:r>
          </w:p>
        </w:tc>
        <w:tc>
          <w:tcPr>
            <w:tcW w:w="2520" w:type="dxa"/>
            <w:shd w:val="clear" w:color="auto" w:fill="auto"/>
          </w:tcPr>
          <w:p w:rsidR="00984D23" w:rsidRPr="00CA34AA" w:rsidRDefault="00984D23" w:rsidP="00984D23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984D23" w:rsidP="00984D23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</w:t>
            </w:r>
            <w:r w:rsidR="00044881" w:rsidRPr="00CA34AA">
              <w:rPr>
                <w:sz w:val="20"/>
                <w:szCs w:val="20"/>
              </w:rPr>
              <w:t>7</w:t>
            </w:r>
            <w:r w:rsidRPr="00CA34AA">
              <w:rPr>
                <w:sz w:val="20"/>
                <w:szCs w:val="20"/>
              </w:rPr>
              <w:t>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9.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984D23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Подвал 397,3</w:t>
            </w:r>
            <w:r w:rsidR="00006FE1" w:rsidRPr="00CA34AA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севернее н.п.Ямская Слобода Зареченского с/п</w:t>
            </w:r>
          </w:p>
        </w:tc>
        <w:tc>
          <w:tcPr>
            <w:tcW w:w="2520" w:type="dxa"/>
            <w:shd w:val="clear" w:color="auto" w:fill="auto"/>
          </w:tcPr>
          <w:p w:rsidR="00984D23" w:rsidRPr="00CA34AA" w:rsidRDefault="00984D23" w:rsidP="00984D23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006FE1" w:rsidRPr="00CA34AA" w:rsidRDefault="00984D23" w:rsidP="00984D23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2017г.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</w:p>
        </w:tc>
      </w:tr>
      <w:tr w:rsidR="00006FE1" w:rsidRPr="00CA34AA" w:rsidTr="00CA34AA">
        <w:tc>
          <w:tcPr>
            <w:tcW w:w="589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10.</w:t>
            </w:r>
          </w:p>
        </w:tc>
        <w:tc>
          <w:tcPr>
            <w:tcW w:w="2952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1183 кв.м с земельным участком</w:t>
            </w:r>
          </w:p>
        </w:tc>
        <w:tc>
          <w:tcPr>
            <w:tcW w:w="2219" w:type="dxa"/>
            <w:shd w:val="clear" w:color="auto" w:fill="auto"/>
          </w:tcPr>
          <w:p w:rsidR="00006FE1" w:rsidRPr="00CA34AA" w:rsidRDefault="00006FE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г.Новосиль ул.К.Маркса 33</w:t>
            </w:r>
          </w:p>
        </w:tc>
        <w:tc>
          <w:tcPr>
            <w:tcW w:w="2520" w:type="dxa"/>
            <w:shd w:val="clear" w:color="auto" w:fill="auto"/>
          </w:tcPr>
          <w:p w:rsidR="00006FE1" w:rsidRPr="00CA34AA" w:rsidRDefault="00984D23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Реализовано с аукциона</w:t>
            </w:r>
          </w:p>
          <w:p w:rsidR="006B5120" w:rsidRPr="00CA34AA" w:rsidRDefault="006B5120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4 квартал</w:t>
            </w:r>
          </w:p>
        </w:tc>
        <w:tc>
          <w:tcPr>
            <w:tcW w:w="1624" w:type="dxa"/>
            <w:shd w:val="clear" w:color="auto" w:fill="auto"/>
          </w:tcPr>
          <w:p w:rsidR="00006FE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2 539,2</w:t>
            </w:r>
          </w:p>
        </w:tc>
      </w:tr>
      <w:tr w:rsidR="00CF6211" w:rsidRPr="00CA34AA" w:rsidTr="00CA34AA">
        <w:tc>
          <w:tcPr>
            <w:tcW w:w="589" w:type="dxa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11.</w:t>
            </w:r>
          </w:p>
        </w:tc>
        <w:tc>
          <w:tcPr>
            <w:tcW w:w="2952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(бывшая Чулковская  общеобразовательная школа) 883,5 кв.м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д.Чулково Глубковского с/п, ул. Раздольная д.2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F6211" w:rsidRPr="00CA34AA" w:rsidRDefault="00CF6211" w:rsidP="00CF621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Не реализовано (нет спроса).</w:t>
            </w:r>
          </w:p>
          <w:p w:rsidR="00CF6211" w:rsidRPr="00CA34AA" w:rsidRDefault="0004488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Включено в план 2017г.</w:t>
            </w:r>
          </w:p>
        </w:tc>
        <w:tc>
          <w:tcPr>
            <w:tcW w:w="1624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</w:tr>
      <w:tr w:rsidR="00CF6211" w:rsidRPr="00CA34AA" w:rsidTr="00CA34AA">
        <w:tc>
          <w:tcPr>
            <w:tcW w:w="589" w:type="dxa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12.</w:t>
            </w:r>
          </w:p>
        </w:tc>
        <w:tc>
          <w:tcPr>
            <w:tcW w:w="2952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(хозпостройка) 67,6 кв.м</w:t>
            </w:r>
          </w:p>
        </w:tc>
        <w:tc>
          <w:tcPr>
            <w:tcW w:w="2219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</w:tr>
      <w:tr w:rsidR="00CF6211" w:rsidRPr="00CA34AA" w:rsidTr="00CA34AA">
        <w:tc>
          <w:tcPr>
            <w:tcW w:w="589" w:type="dxa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13.</w:t>
            </w:r>
          </w:p>
        </w:tc>
        <w:tc>
          <w:tcPr>
            <w:tcW w:w="2952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отделения постоянного пребывания одиноких и престарелых 78,5 кв.м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с.Голунь Голунского с/п, ул.Парковая д.17</w:t>
            </w:r>
            <w:r w:rsidR="00044881" w:rsidRPr="00CA34AA">
              <w:rPr>
                <w:sz w:val="20"/>
                <w:szCs w:val="20"/>
              </w:rPr>
              <w:t xml:space="preserve"> с земельным участком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Реализовано с аукциона</w:t>
            </w:r>
          </w:p>
          <w:p w:rsidR="006B5120" w:rsidRPr="00CA34AA" w:rsidRDefault="006B5120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3 квартал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766,1</w:t>
            </w:r>
          </w:p>
        </w:tc>
      </w:tr>
      <w:tr w:rsidR="00CF6211" w:rsidRPr="00CA34AA" w:rsidTr="00CA34AA">
        <w:tc>
          <w:tcPr>
            <w:tcW w:w="589" w:type="dxa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14.</w:t>
            </w:r>
          </w:p>
        </w:tc>
        <w:tc>
          <w:tcPr>
            <w:tcW w:w="2952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Здание прачечной 27.,4 кв.м</w:t>
            </w:r>
          </w:p>
        </w:tc>
        <w:tc>
          <w:tcPr>
            <w:tcW w:w="2219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</w:tr>
      <w:tr w:rsidR="00CF6211" w:rsidRPr="00CA34AA" w:rsidTr="00CA34AA">
        <w:tc>
          <w:tcPr>
            <w:tcW w:w="589" w:type="dxa"/>
            <w:shd w:val="clear" w:color="auto" w:fill="auto"/>
          </w:tcPr>
          <w:p w:rsidR="00CF6211" w:rsidRPr="00CA34AA" w:rsidRDefault="003C1C17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15.</w:t>
            </w:r>
          </w:p>
        </w:tc>
        <w:tc>
          <w:tcPr>
            <w:tcW w:w="2952" w:type="dxa"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  <w:r w:rsidRPr="00CA34AA">
              <w:rPr>
                <w:sz w:val="20"/>
                <w:szCs w:val="20"/>
              </w:rPr>
              <w:t>Хозсарай 30,1 кв.м</w:t>
            </w:r>
          </w:p>
        </w:tc>
        <w:tc>
          <w:tcPr>
            <w:tcW w:w="2219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CF6211" w:rsidRPr="00CA34AA" w:rsidRDefault="00CF6211" w:rsidP="00006FE1">
            <w:pPr>
              <w:rPr>
                <w:sz w:val="20"/>
                <w:szCs w:val="20"/>
              </w:rPr>
            </w:pPr>
          </w:p>
        </w:tc>
      </w:tr>
    </w:tbl>
    <w:p w:rsidR="00006FE1" w:rsidRDefault="00006FE1" w:rsidP="00006FE1">
      <w:pPr>
        <w:ind w:left="-900" w:firstLine="900"/>
        <w:jc w:val="both"/>
        <w:rPr>
          <w:sz w:val="28"/>
          <w:szCs w:val="28"/>
        </w:rPr>
      </w:pP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 xml:space="preserve">Всего в доход районного бюджета в 2016 году из запланированных </w:t>
      </w:r>
      <w:r w:rsidR="003C1C17" w:rsidRPr="00993E0C">
        <w:rPr>
          <w:sz w:val="26"/>
          <w:szCs w:val="26"/>
        </w:rPr>
        <w:t>2 4</w:t>
      </w:r>
      <w:r w:rsidRPr="00993E0C">
        <w:rPr>
          <w:sz w:val="26"/>
          <w:szCs w:val="26"/>
        </w:rPr>
        <w:t xml:space="preserve">00 тыс. руб. поступило </w:t>
      </w:r>
      <w:r w:rsidR="003C1C17" w:rsidRPr="00993E0C">
        <w:rPr>
          <w:sz w:val="26"/>
          <w:szCs w:val="26"/>
        </w:rPr>
        <w:t>2 197,7</w:t>
      </w:r>
      <w:r w:rsidRPr="00993E0C">
        <w:rPr>
          <w:sz w:val="26"/>
          <w:szCs w:val="26"/>
        </w:rPr>
        <w:t xml:space="preserve"> тыс.</w:t>
      </w:r>
      <w:r w:rsidR="008772E0">
        <w:rPr>
          <w:sz w:val="26"/>
          <w:szCs w:val="26"/>
        </w:rPr>
        <w:t xml:space="preserve"> </w:t>
      </w:r>
      <w:r w:rsidRPr="00993E0C">
        <w:rPr>
          <w:sz w:val="26"/>
          <w:szCs w:val="26"/>
        </w:rPr>
        <w:t xml:space="preserve">руб. </w:t>
      </w:r>
      <w:r w:rsidR="003C1C17" w:rsidRPr="00993E0C">
        <w:rPr>
          <w:sz w:val="26"/>
          <w:szCs w:val="26"/>
        </w:rPr>
        <w:t xml:space="preserve">(в связи с поздним сроком перечисления денежных средств в конце декабря м-ца, </w:t>
      </w:r>
      <w:r w:rsidR="00044881" w:rsidRPr="00993E0C">
        <w:rPr>
          <w:sz w:val="26"/>
          <w:szCs w:val="26"/>
        </w:rPr>
        <w:t>1279,8 тыс.</w:t>
      </w:r>
      <w:r w:rsidR="008772E0">
        <w:rPr>
          <w:sz w:val="26"/>
          <w:szCs w:val="26"/>
        </w:rPr>
        <w:t xml:space="preserve"> </w:t>
      </w:r>
      <w:r w:rsidR="00044881" w:rsidRPr="00993E0C">
        <w:rPr>
          <w:sz w:val="26"/>
          <w:szCs w:val="26"/>
        </w:rPr>
        <w:t>руб. учтено в бюджете 2017 года).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>Нереализованные объекты повторно включены в план</w:t>
      </w:r>
      <w:r w:rsidR="00993E0C" w:rsidRPr="00993E0C">
        <w:rPr>
          <w:sz w:val="26"/>
          <w:szCs w:val="26"/>
        </w:rPr>
        <w:t xml:space="preserve"> </w:t>
      </w:r>
      <w:r w:rsidRPr="00993E0C">
        <w:rPr>
          <w:sz w:val="26"/>
          <w:szCs w:val="26"/>
        </w:rPr>
        <w:t xml:space="preserve"> приватизации на 201</w:t>
      </w:r>
      <w:r w:rsidR="003C1C17" w:rsidRPr="00993E0C">
        <w:rPr>
          <w:sz w:val="26"/>
          <w:szCs w:val="26"/>
        </w:rPr>
        <w:t>7</w:t>
      </w:r>
      <w:r w:rsidRPr="00993E0C">
        <w:rPr>
          <w:sz w:val="26"/>
          <w:szCs w:val="26"/>
        </w:rPr>
        <w:t xml:space="preserve"> год.</w:t>
      </w: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</w:p>
    <w:p w:rsidR="00006FE1" w:rsidRPr="00993E0C" w:rsidRDefault="00006FE1" w:rsidP="00006FE1">
      <w:pPr>
        <w:ind w:left="-900" w:firstLine="900"/>
        <w:jc w:val="both"/>
        <w:rPr>
          <w:sz w:val="26"/>
          <w:szCs w:val="26"/>
        </w:rPr>
      </w:pPr>
    </w:p>
    <w:p w:rsidR="00993E0C" w:rsidRPr="00993E0C" w:rsidRDefault="00006FE1" w:rsidP="00993E0C">
      <w:pPr>
        <w:ind w:left="-900" w:firstLine="900"/>
        <w:jc w:val="both"/>
        <w:rPr>
          <w:sz w:val="26"/>
          <w:szCs w:val="26"/>
        </w:rPr>
      </w:pPr>
      <w:r w:rsidRPr="00993E0C">
        <w:rPr>
          <w:sz w:val="26"/>
          <w:szCs w:val="26"/>
        </w:rPr>
        <w:t xml:space="preserve">        </w:t>
      </w:r>
      <w:r w:rsidR="00993E0C" w:rsidRPr="00993E0C">
        <w:rPr>
          <w:sz w:val="26"/>
          <w:szCs w:val="26"/>
        </w:rPr>
        <w:t xml:space="preserve"> </w:t>
      </w:r>
    </w:p>
    <w:p w:rsidR="00993E0C" w:rsidRPr="00993E0C" w:rsidRDefault="00993E0C" w:rsidP="00993E0C"/>
    <w:p w:rsidR="00993E0C" w:rsidRPr="00993E0C" w:rsidRDefault="00993E0C" w:rsidP="00993E0C">
      <w:pPr>
        <w:autoSpaceDE w:val="0"/>
        <w:autoSpaceDN w:val="0"/>
        <w:adjustRightInd w:val="0"/>
        <w:jc w:val="right"/>
        <w:rPr>
          <w:rFonts w:ascii="Courier New" w:hAnsi="Courier New" w:cs="Courier New"/>
          <w:noProof/>
          <w:sz w:val="28"/>
          <w:szCs w:val="28"/>
        </w:rPr>
      </w:pPr>
    </w:p>
    <w:p w:rsidR="00993E0C" w:rsidRDefault="0028401B" w:rsidP="00993E0C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-57150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D13" w:rsidRPr="00993E0C" w:rsidRDefault="00DC5D13" w:rsidP="00993E0C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sz w:val="28"/>
          <w:szCs w:val="28"/>
        </w:rPr>
      </w:pPr>
    </w:p>
    <w:p w:rsidR="00993E0C" w:rsidRPr="00993E0C" w:rsidRDefault="00993E0C" w:rsidP="00993E0C">
      <w:pPr>
        <w:tabs>
          <w:tab w:val="left" w:pos="708"/>
          <w:tab w:val="center" w:pos="4536"/>
          <w:tab w:val="right" w:pos="9072"/>
        </w:tabs>
        <w:ind w:left="-567"/>
        <w:jc w:val="center"/>
      </w:pPr>
    </w:p>
    <w:p w:rsidR="00993E0C" w:rsidRPr="00993E0C" w:rsidRDefault="00993E0C" w:rsidP="00993E0C">
      <w:pPr>
        <w:tabs>
          <w:tab w:val="left" w:pos="708"/>
          <w:tab w:val="center" w:pos="4536"/>
          <w:tab w:val="right" w:pos="9072"/>
        </w:tabs>
        <w:ind w:left="-567"/>
        <w:jc w:val="center"/>
      </w:pPr>
    </w:p>
    <w:p w:rsidR="00993E0C" w:rsidRPr="00993E0C" w:rsidRDefault="00993E0C" w:rsidP="00993E0C">
      <w:pPr>
        <w:tabs>
          <w:tab w:val="left" w:pos="708"/>
          <w:tab w:val="center" w:pos="4536"/>
          <w:tab w:val="right" w:pos="9072"/>
        </w:tabs>
        <w:ind w:left="-567"/>
        <w:jc w:val="center"/>
      </w:pPr>
      <w:r w:rsidRPr="00993E0C">
        <w:t>РОССИЙСКАЯ   ФЕДЕРАЦИЯ</w:t>
      </w:r>
    </w:p>
    <w:p w:rsidR="00993E0C" w:rsidRPr="00993E0C" w:rsidRDefault="00993E0C" w:rsidP="00993E0C">
      <w:pPr>
        <w:tabs>
          <w:tab w:val="left" w:pos="708"/>
          <w:tab w:val="center" w:pos="4536"/>
          <w:tab w:val="right" w:pos="9072"/>
        </w:tabs>
        <w:ind w:left="-567"/>
        <w:jc w:val="center"/>
      </w:pPr>
      <w:r w:rsidRPr="00993E0C">
        <w:t>ОРЛОВСКАЯ   ОБЛАСТЬ</w:t>
      </w:r>
    </w:p>
    <w:p w:rsidR="00993E0C" w:rsidRPr="00993E0C" w:rsidRDefault="00993E0C" w:rsidP="00993E0C">
      <w:pPr>
        <w:keepNext/>
        <w:spacing w:before="240" w:after="60"/>
        <w:ind w:left="-567"/>
        <w:jc w:val="center"/>
        <w:outlineLvl w:val="1"/>
        <w:rPr>
          <w:b/>
          <w:bCs/>
          <w:iCs/>
          <w:sz w:val="32"/>
          <w:szCs w:val="32"/>
        </w:rPr>
      </w:pPr>
      <w:r w:rsidRPr="00993E0C">
        <w:rPr>
          <w:b/>
          <w:bCs/>
          <w:iCs/>
          <w:sz w:val="32"/>
          <w:szCs w:val="32"/>
        </w:rPr>
        <w:t>Новосильский районный Совет</w:t>
      </w:r>
    </w:p>
    <w:p w:rsidR="00993E0C" w:rsidRPr="00993E0C" w:rsidRDefault="00993E0C" w:rsidP="00993E0C">
      <w:pPr>
        <w:ind w:left="-567" w:hanging="1701"/>
        <w:jc w:val="center"/>
        <w:rPr>
          <w:b/>
          <w:sz w:val="32"/>
          <w:szCs w:val="32"/>
        </w:rPr>
      </w:pPr>
      <w:r w:rsidRPr="00993E0C">
        <w:rPr>
          <w:b/>
          <w:sz w:val="32"/>
          <w:szCs w:val="32"/>
        </w:rPr>
        <w:t xml:space="preserve">                   народных депутатов</w:t>
      </w:r>
    </w:p>
    <w:p w:rsidR="00993E0C" w:rsidRPr="00993E0C" w:rsidRDefault="00993E0C" w:rsidP="00993E0C">
      <w:pPr>
        <w:ind w:left="-567" w:hanging="1701"/>
        <w:rPr>
          <w:b/>
          <w:sz w:val="32"/>
          <w:szCs w:val="32"/>
        </w:rPr>
      </w:pPr>
    </w:p>
    <w:p w:rsidR="00993E0C" w:rsidRPr="00993E0C" w:rsidRDefault="00993E0C" w:rsidP="00993E0C">
      <w:pPr>
        <w:ind w:left="-567"/>
        <w:rPr>
          <w:b/>
          <w:sz w:val="22"/>
          <w:szCs w:val="22"/>
          <w:u w:val="single"/>
        </w:rPr>
      </w:pPr>
      <w:r w:rsidRPr="00993E0C">
        <w:rPr>
          <w:b/>
          <w:sz w:val="22"/>
          <w:szCs w:val="22"/>
          <w:u w:val="single"/>
        </w:rPr>
        <w:t>303500</w:t>
      </w:r>
    </w:p>
    <w:p w:rsidR="00993E0C" w:rsidRPr="00993E0C" w:rsidRDefault="00993E0C" w:rsidP="00993E0C">
      <w:pPr>
        <w:ind w:left="-567"/>
        <w:rPr>
          <w:b/>
          <w:sz w:val="22"/>
          <w:szCs w:val="22"/>
          <w:u w:val="single"/>
        </w:rPr>
      </w:pPr>
      <w:r w:rsidRPr="00993E0C"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__            т.2-19-59</w:t>
      </w:r>
    </w:p>
    <w:p w:rsidR="00993E0C" w:rsidRPr="00993E0C" w:rsidRDefault="00993E0C" w:rsidP="00993E0C">
      <w:pPr>
        <w:keepNext/>
        <w:ind w:left="-567"/>
        <w:outlineLvl w:val="0"/>
        <w:rPr>
          <w:sz w:val="20"/>
          <w:szCs w:val="20"/>
        </w:rPr>
      </w:pP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</w:r>
      <w:r w:rsidRPr="00993E0C">
        <w:rPr>
          <w:sz w:val="20"/>
          <w:szCs w:val="20"/>
        </w:rPr>
        <w:tab/>
        <w:t xml:space="preserve">   </w:t>
      </w:r>
      <w:r w:rsidRPr="00993E0C">
        <w:rPr>
          <w:sz w:val="20"/>
          <w:szCs w:val="20"/>
        </w:rPr>
        <w:tab/>
      </w:r>
    </w:p>
    <w:p w:rsidR="00993E0C" w:rsidRPr="00993E0C" w:rsidRDefault="00993E0C" w:rsidP="00993E0C">
      <w:pPr>
        <w:keepNext/>
        <w:ind w:left="-567"/>
        <w:outlineLvl w:val="0"/>
      </w:pPr>
      <w:r w:rsidRPr="00993E0C">
        <w:t xml:space="preserve">                                                                          </w:t>
      </w:r>
    </w:p>
    <w:p w:rsidR="00993E0C" w:rsidRPr="00993E0C" w:rsidRDefault="00993E0C" w:rsidP="00993E0C">
      <w:pPr>
        <w:keepNext/>
        <w:ind w:left="-567"/>
        <w:outlineLvl w:val="0"/>
      </w:pPr>
      <w:r w:rsidRPr="00993E0C">
        <w:t xml:space="preserve">                                                                                                                                                                </w:t>
      </w:r>
    </w:p>
    <w:p w:rsidR="00993E0C" w:rsidRPr="00993E0C" w:rsidRDefault="00993E0C" w:rsidP="00993E0C">
      <w:pPr>
        <w:ind w:left="-567"/>
        <w:rPr>
          <w:b/>
          <w:sz w:val="28"/>
          <w:szCs w:val="28"/>
        </w:rPr>
      </w:pPr>
      <w:r w:rsidRPr="00993E0C">
        <w:rPr>
          <w:sz w:val="28"/>
          <w:szCs w:val="28"/>
        </w:rPr>
        <w:t xml:space="preserve">                                                          </w:t>
      </w:r>
      <w:r w:rsidRPr="00993E0C">
        <w:rPr>
          <w:b/>
          <w:sz w:val="28"/>
          <w:szCs w:val="28"/>
        </w:rPr>
        <w:t xml:space="preserve">Р Е Ш Е Н И Е  </w:t>
      </w:r>
    </w:p>
    <w:p w:rsidR="00993E0C" w:rsidRPr="00993E0C" w:rsidRDefault="00993E0C" w:rsidP="00993E0C">
      <w:pPr>
        <w:ind w:left="-567"/>
        <w:rPr>
          <w:b/>
        </w:rPr>
      </w:pPr>
    </w:p>
    <w:p w:rsidR="00993E0C" w:rsidRPr="00993E0C" w:rsidRDefault="00993E0C" w:rsidP="00993E0C">
      <w:pPr>
        <w:ind w:left="-567"/>
        <w:rPr>
          <w:b/>
        </w:rPr>
      </w:pPr>
    </w:p>
    <w:p w:rsidR="00993E0C" w:rsidRPr="00993E0C" w:rsidRDefault="00993E0C" w:rsidP="00993E0C">
      <w:pPr>
        <w:ind w:left="-567"/>
        <w:rPr>
          <w:sz w:val="28"/>
          <w:szCs w:val="28"/>
        </w:rPr>
      </w:pPr>
      <w:r w:rsidRPr="00993E0C">
        <w:t xml:space="preserve">      </w:t>
      </w:r>
      <w:r w:rsidRPr="00993E0C">
        <w:rPr>
          <w:sz w:val="28"/>
          <w:szCs w:val="28"/>
        </w:rPr>
        <w:t xml:space="preserve">  </w:t>
      </w:r>
      <w:r w:rsidR="00DC5D13">
        <w:rPr>
          <w:sz w:val="28"/>
          <w:szCs w:val="28"/>
        </w:rPr>
        <w:t xml:space="preserve">          31 марта </w:t>
      </w:r>
      <w:r w:rsidRPr="00993E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582902">
        <w:rPr>
          <w:sz w:val="28"/>
          <w:szCs w:val="28"/>
        </w:rPr>
        <w:t xml:space="preserve"> </w:t>
      </w:r>
      <w:r w:rsidRPr="00993E0C">
        <w:rPr>
          <w:sz w:val="28"/>
          <w:szCs w:val="28"/>
        </w:rPr>
        <w:t xml:space="preserve"> года                    </w:t>
      </w:r>
      <w:r w:rsidR="00DC5D13">
        <w:rPr>
          <w:sz w:val="28"/>
          <w:szCs w:val="28"/>
        </w:rPr>
        <w:t xml:space="preserve">                                   №  49</w:t>
      </w:r>
      <w:r w:rsidRPr="00993E0C">
        <w:rPr>
          <w:sz w:val="28"/>
          <w:szCs w:val="28"/>
        </w:rPr>
        <w:t xml:space="preserve">  -  РС</w:t>
      </w:r>
    </w:p>
    <w:p w:rsidR="00993E0C" w:rsidRPr="00993E0C" w:rsidRDefault="00993E0C" w:rsidP="00993E0C">
      <w:pPr>
        <w:ind w:left="-567"/>
        <w:rPr>
          <w:sz w:val="28"/>
          <w:szCs w:val="28"/>
        </w:rPr>
      </w:pPr>
    </w:p>
    <w:p w:rsidR="00993E0C" w:rsidRPr="00993E0C" w:rsidRDefault="00993E0C" w:rsidP="00993E0C">
      <w:pPr>
        <w:ind w:left="-567"/>
      </w:pPr>
    </w:p>
    <w:p w:rsidR="00993E0C" w:rsidRPr="00993E0C" w:rsidRDefault="00993E0C" w:rsidP="00993E0C">
      <w:pPr>
        <w:ind w:left="-567"/>
      </w:pPr>
    </w:p>
    <w:p w:rsidR="00993E0C" w:rsidRPr="00993E0C" w:rsidRDefault="00993E0C" w:rsidP="00993E0C">
      <w:pPr>
        <w:ind w:left="-567"/>
        <w:jc w:val="both"/>
        <w:rPr>
          <w:sz w:val="28"/>
          <w:szCs w:val="28"/>
        </w:rPr>
      </w:pPr>
      <w:r w:rsidRPr="00993E0C">
        <w:rPr>
          <w:sz w:val="28"/>
          <w:szCs w:val="20"/>
        </w:rPr>
        <w:t xml:space="preserve">  </w:t>
      </w:r>
      <w:bookmarkStart w:id="0" w:name="_GoBack"/>
      <w:r w:rsidRPr="00993E0C">
        <w:rPr>
          <w:sz w:val="28"/>
          <w:szCs w:val="28"/>
        </w:rPr>
        <w:t>Об отчёте об исполнении прогнозного</w:t>
      </w:r>
    </w:p>
    <w:p w:rsidR="00993E0C" w:rsidRPr="00993E0C" w:rsidRDefault="00993E0C" w:rsidP="00993E0C">
      <w:pPr>
        <w:ind w:left="-567"/>
        <w:jc w:val="both"/>
        <w:rPr>
          <w:sz w:val="28"/>
          <w:szCs w:val="28"/>
        </w:rPr>
      </w:pPr>
      <w:r w:rsidRPr="00993E0C">
        <w:rPr>
          <w:sz w:val="28"/>
          <w:szCs w:val="28"/>
        </w:rPr>
        <w:t xml:space="preserve">  плана (программы) приватизации</w:t>
      </w:r>
    </w:p>
    <w:p w:rsidR="00993E0C" w:rsidRPr="00993E0C" w:rsidRDefault="00993E0C" w:rsidP="00993E0C">
      <w:pPr>
        <w:ind w:left="-567"/>
        <w:jc w:val="both"/>
        <w:rPr>
          <w:sz w:val="28"/>
          <w:szCs w:val="28"/>
        </w:rPr>
      </w:pPr>
      <w:r w:rsidRPr="00993E0C">
        <w:rPr>
          <w:sz w:val="28"/>
          <w:szCs w:val="28"/>
        </w:rPr>
        <w:t xml:space="preserve">  муниципального имущества за 201</w:t>
      </w:r>
      <w:r>
        <w:rPr>
          <w:sz w:val="28"/>
          <w:szCs w:val="28"/>
        </w:rPr>
        <w:t>6</w:t>
      </w:r>
      <w:r w:rsidRPr="00993E0C">
        <w:rPr>
          <w:sz w:val="28"/>
          <w:szCs w:val="28"/>
        </w:rPr>
        <w:t xml:space="preserve"> год</w:t>
      </w:r>
    </w:p>
    <w:bookmarkEnd w:id="0"/>
    <w:p w:rsidR="00993E0C" w:rsidRPr="00993E0C" w:rsidRDefault="00993E0C" w:rsidP="00E40B47">
      <w:pPr>
        <w:jc w:val="both"/>
        <w:rPr>
          <w:sz w:val="28"/>
          <w:szCs w:val="28"/>
        </w:rPr>
      </w:pPr>
    </w:p>
    <w:p w:rsidR="00993E0C" w:rsidRPr="00993E0C" w:rsidRDefault="00993E0C" w:rsidP="00993E0C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993E0C">
        <w:rPr>
          <w:sz w:val="28"/>
          <w:szCs w:val="28"/>
        </w:rPr>
        <w:t xml:space="preserve">     В целях осуществления контроля за исполнением нормативно-правовых актов, принятых Новосильским  районным Советом народных депутатов,  в соответствии со ст.10 Положения «О владении, пользовании и распоряжении муниципальным имуществом Новосильского района», Новосильский районный Совет народных депутатов </w:t>
      </w:r>
      <w:r w:rsidRPr="00993E0C">
        <w:rPr>
          <w:b/>
          <w:sz w:val="28"/>
          <w:szCs w:val="28"/>
        </w:rPr>
        <w:t>РЕШИЛ</w:t>
      </w:r>
      <w:r w:rsidRPr="00993E0C">
        <w:rPr>
          <w:sz w:val="28"/>
          <w:szCs w:val="28"/>
        </w:rPr>
        <w:t>:</w:t>
      </w:r>
    </w:p>
    <w:p w:rsidR="00993E0C" w:rsidRPr="00993E0C" w:rsidRDefault="00993E0C" w:rsidP="00993E0C">
      <w:pPr>
        <w:ind w:left="-567"/>
        <w:jc w:val="both"/>
        <w:rPr>
          <w:sz w:val="28"/>
          <w:szCs w:val="28"/>
        </w:rPr>
      </w:pPr>
      <w:r w:rsidRPr="00993E0C">
        <w:rPr>
          <w:sz w:val="28"/>
          <w:szCs w:val="28"/>
        </w:rPr>
        <w:t xml:space="preserve"> 1. Принять отчёт об исполнении прогнозного  плана (программы) приватизации муниципального имущества за 201</w:t>
      </w:r>
      <w:r>
        <w:rPr>
          <w:sz w:val="28"/>
          <w:szCs w:val="28"/>
        </w:rPr>
        <w:t>6</w:t>
      </w:r>
      <w:r w:rsidR="008772E0">
        <w:rPr>
          <w:sz w:val="28"/>
          <w:szCs w:val="28"/>
        </w:rPr>
        <w:t xml:space="preserve"> </w:t>
      </w:r>
      <w:r w:rsidRPr="00993E0C">
        <w:rPr>
          <w:sz w:val="28"/>
          <w:szCs w:val="28"/>
        </w:rPr>
        <w:t>год  к сведению (прилагается).</w:t>
      </w:r>
    </w:p>
    <w:p w:rsidR="00993E0C" w:rsidRPr="00993E0C" w:rsidRDefault="00993E0C" w:rsidP="00993E0C">
      <w:pPr>
        <w:ind w:left="-567"/>
        <w:jc w:val="both"/>
        <w:rPr>
          <w:sz w:val="28"/>
          <w:szCs w:val="28"/>
        </w:rPr>
      </w:pPr>
      <w:r w:rsidRPr="00993E0C">
        <w:rPr>
          <w:sz w:val="28"/>
          <w:szCs w:val="28"/>
        </w:rPr>
        <w:t xml:space="preserve"> 2. Контроль за исполнением принятого решения возложить на комиссию по законодательству и правовому регулированию.</w:t>
      </w:r>
    </w:p>
    <w:p w:rsidR="00993E0C" w:rsidRPr="00993E0C" w:rsidRDefault="00993E0C" w:rsidP="00993E0C">
      <w:pPr>
        <w:ind w:left="-567"/>
        <w:rPr>
          <w:sz w:val="28"/>
          <w:szCs w:val="28"/>
        </w:rPr>
      </w:pPr>
    </w:p>
    <w:p w:rsidR="00993E0C" w:rsidRPr="00993E0C" w:rsidRDefault="00993E0C" w:rsidP="00993E0C">
      <w:pPr>
        <w:ind w:left="-567"/>
        <w:rPr>
          <w:sz w:val="28"/>
          <w:szCs w:val="28"/>
        </w:rPr>
      </w:pPr>
    </w:p>
    <w:p w:rsidR="00993E0C" w:rsidRPr="00993E0C" w:rsidRDefault="00993E0C" w:rsidP="00993E0C">
      <w:pPr>
        <w:ind w:left="-567"/>
        <w:rPr>
          <w:sz w:val="28"/>
          <w:szCs w:val="28"/>
        </w:rPr>
      </w:pPr>
    </w:p>
    <w:p w:rsidR="00993E0C" w:rsidRDefault="00993E0C" w:rsidP="00993E0C">
      <w:pPr>
        <w:spacing w:line="276" w:lineRule="auto"/>
        <w:ind w:left="-567"/>
        <w:rPr>
          <w:sz w:val="28"/>
          <w:szCs w:val="28"/>
        </w:rPr>
      </w:pPr>
      <w:r w:rsidRPr="00993E0C">
        <w:rPr>
          <w:sz w:val="28"/>
          <w:szCs w:val="28"/>
        </w:rPr>
        <w:t xml:space="preserve">    Председатель</w:t>
      </w:r>
      <w:r>
        <w:rPr>
          <w:sz w:val="28"/>
          <w:szCs w:val="28"/>
        </w:rPr>
        <w:t xml:space="preserve"> Новосильского</w:t>
      </w:r>
    </w:p>
    <w:p w:rsidR="00993E0C" w:rsidRPr="00993E0C" w:rsidRDefault="00993E0C" w:rsidP="00993E0C">
      <w:pPr>
        <w:spacing w:line="276" w:lineRule="auto"/>
        <w:ind w:left="-567"/>
        <w:rPr>
          <w:sz w:val="28"/>
          <w:szCs w:val="28"/>
        </w:rPr>
      </w:pPr>
      <w:r w:rsidRPr="00993E0C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 xml:space="preserve"> </w:t>
      </w:r>
      <w:r w:rsidRPr="00993E0C">
        <w:rPr>
          <w:sz w:val="28"/>
          <w:szCs w:val="28"/>
        </w:rPr>
        <w:t xml:space="preserve">Совета  народных депутатов                                 </w:t>
      </w:r>
      <w:r>
        <w:rPr>
          <w:sz w:val="28"/>
          <w:szCs w:val="28"/>
        </w:rPr>
        <w:t xml:space="preserve">   </w:t>
      </w:r>
      <w:r w:rsidRPr="00993E0C">
        <w:rPr>
          <w:sz w:val="28"/>
          <w:szCs w:val="28"/>
        </w:rPr>
        <w:t xml:space="preserve">  </w:t>
      </w:r>
      <w:r>
        <w:rPr>
          <w:sz w:val="28"/>
          <w:szCs w:val="28"/>
        </w:rPr>
        <w:t>К. В. Лазарев</w:t>
      </w:r>
      <w:r w:rsidRPr="00993E0C">
        <w:rPr>
          <w:sz w:val="28"/>
          <w:szCs w:val="28"/>
        </w:rPr>
        <w:t xml:space="preserve">                  </w:t>
      </w:r>
    </w:p>
    <w:p w:rsidR="00993E0C" w:rsidRPr="00993E0C" w:rsidRDefault="00993E0C" w:rsidP="00993E0C">
      <w:pPr>
        <w:spacing w:line="276" w:lineRule="auto"/>
        <w:ind w:left="-567" w:firstLine="708"/>
        <w:jc w:val="both"/>
        <w:rPr>
          <w:sz w:val="28"/>
          <w:szCs w:val="28"/>
        </w:rPr>
      </w:pPr>
    </w:p>
    <w:p w:rsidR="00993E0C" w:rsidRPr="00993E0C" w:rsidRDefault="00993E0C" w:rsidP="00993E0C">
      <w:pPr>
        <w:spacing w:line="276" w:lineRule="auto"/>
        <w:ind w:left="-567"/>
      </w:pPr>
    </w:p>
    <w:p w:rsidR="00993E0C" w:rsidRPr="00993E0C" w:rsidRDefault="00993E0C" w:rsidP="00993E0C">
      <w:pPr>
        <w:ind w:left="-567"/>
      </w:pPr>
    </w:p>
    <w:p w:rsidR="00993E0C" w:rsidRPr="00993E0C" w:rsidRDefault="00993E0C" w:rsidP="00993E0C">
      <w:pPr>
        <w:ind w:left="-567"/>
      </w:pPr>
    </w:p>
    <w:p w:rsidR="00993E0C" w:rsidRPr="00993E0C" w:rsidRDefault="00993E0C" w:rsidP="00993E0C">
      <w:pPr>
        <w:autoSpaceDE w:val="0"/>
        <w:autoSpaceDN w:val="0"/>
        <w:adjustRightInd w:val="0"/>
        <w:ind w:left="-567"/>
      </w:pPr>
    </w:p>
    <w:p w:rsidR="00993E0C" w:rsidRPr="00993E0C" w:rsidRDefault="00993E0C" w:rsidP="00993E0C">
      <w:pPr>
        <w:ind w:left="-567"/>
      </w:pPr>
    </w:p>
    <w:p w:rsidR="00993E0C" w:rsidRDefault="00993E0C"/>
    <w:sectPr w:rsidR="00993E0C" w:rsidSect="00993E0C">
      <w:pgSz w:w="11906" w:h="16838"/>
      <w:pgMar w:top="539" w:right="851" w:bottom="539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E1"/>
    <w:rsid w:val="00006FE1"/>
    <w:rsid w:val="00044881"/>
    <w:rsid w:val="0005236D"/>
    <w:rsid w:val="00067FEF"/>
    <w:rsid w:val="0008360E"/>
    <w:rsid w:val="00090CF3"/>
    <w:rsid w:val="00115C99"/>
    <w:rsid w:val="0021058E"/>
    <w:rsid w:val="002801F8"/>
    <w:rsid w:val="00282D8C"/>
    <w:rsid w:val="0028401B"/>
    <w:rsid w:val="002B582B"/>
    <w:rsid w:val="00396750"/>
    <w:rsid w:val="003C1C17"/>
    <w:rsid w:val="003D6C3B"/>
    <w:rsid w:val="004C19A8"/>
    <w:rsid w:val="004D4E1E"/>
    <w:rsid w:val="004F4702"/>
    <w:rsid w:val="005533F5"/>
    <w:rsid w:val="00582902"/>
    <w:rsid w:val="0059410C"/>
    <w:rsid w:val="00627BFE"/>
    <w:rsid w:val="0066744F"/>
    <w:rsid w:val="0069610A"/>
    <w:rsid w:val="006A6F2F"/>
    <w:rsid w:val="006B5120"/>
    <w:rsid w:val="007C6251"/>
    <w:rsid w:val="007F48A6"/>
    <w:rsid w:val="00821E52"/>
    <w:rsid w:val="00865BDA"/>
    <w:rsid w:val="008772E0"/>
    <w:rsid w:val="00877C39"/>
    <w:rsid w:val="00984D23"/>
    <w:rsid w:val="00993839"/>
    <w:rsid w:val="00993E0C"/>
    <w:rsid w:val="00A2579E"/>
    <w:rsid w:val="00B16FE2"/>
    <w:rsid w:val="00B53CCD"/>
    <w:rsid w:val="00B673D7"/>
    <w:rsid w:val="00C532EE"/>
    <w:rsid w:val="00CA34AA"/>
    <w:rsid w:val="00CF6211"/>
    <w:rsid w:val="00D168F9"/>
    <w:rsid w:val="00DC5D13"/>
    <w:rsid w:val="00E074B4"/>
    <w:rsid w:val="00E40B47"/>
    <w:rsid w:val="00ED18E8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6F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77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7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6F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77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7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2017-03-24T05:58:00Z</cp:lastPrinted>
  <dcterms:created xsi:type="dcterms:W3CDTF">2018-02-09T08:48:00Z</dcterms:created>
  <dcterms:modified xsi:type="dcterms:W3CDTF">2018-02-09T08:48:00Z</dcterms:modified>
</cp:coreProperties>
</file>